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8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82"/>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82"/>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淮安市城乡居民和职工大病保险选择保险服务机构</w:t>
      </w:r>
      <w:r>
        <w:rPr>
          <w:rFonts w:hint="eastAsia" w:ascii="黑体" w:hAnsi="黑体" w:eastAsia="黑体"/>
          <w:b/>
          <w:sz w:val="36"/>
          <w:szCs w:val="36"/>
        </w:rPr>
      </w:r>
      <w:r/>
    </w:p>
    <w:p>
      <w:pPr>
        <w:pStyle w:val="682"/>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8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82"/>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82"/>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JSZC-320800-JZCG-G2026-0011</w:t>
      </w:r>
      <w:r>
        <w:rPr>
          <w:rFonts w:hint="eastAsia" w:ascii="黑体" w:hAnsi="黑体" w:eastAsia="黑体"/>
          <w:b/>
          <w:sz w:val="36"/>
        </w:rPr>
      </w:r>
      <w:r/>
    </w:p>
    <w:p>
      <w:pPr>
        <w:pStyle w:val="682"/>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82"/>
        <w:keepLines w:val="0"/>
        <w:keepNext w:val="0"/>
        <w:pageBreakBefore w:val="0"/>
        <w:rPr>
          <w:rFonts w:ascii="黑体" w:hAnsi="黑体" w:eastAsia="黑体"/>
          <w:b/>
          <w:sz w:val="32"/>
        </w:rPr>
        <w:outlineLvl w:val="9"/>
      </w:pPr>
      <w:r>
        <w:rPr>
          <w:rFonts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2"/>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82"/>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二</w:t>
      </w:r>
      <w:r>
        <w:rPr>
          <w:rFonts w:hint="eastAsia" w:ascii="黑体" w:hAnsi="黑体" w:eastAsia="黑体"/>
          <w:b/>
          <w:sz w:val="36"/>
          <w:szCs w:val="36"/>
        </w:rPr>
        <w:t xml:space="preserve">月</w:t>
      </w:r>
      <w:r>
        <w:rPr>
          <w:rFonts w:hint="eastAsia" w:ascii="黑体" w:hAnsi="黑体" w:eastAsia="黑体"/>
          <w:b/>
          <w:sz w:val="36"/>
          <w:szCs w:val="36"/>
        </w:rPr>
        <w:t xml:space="preserve">二十八</w:t>
      </w:r>
      <w:r>
        <w:rPr>
          <w:rFonts w:hint="eastAsia" w:ascii="黑体" w:hAnsi="黑体" w:eastAsia="黑体"/>
          <w:b/>
          <w:sz w:val="36"/>
          <w:szCs w:val="36"/>
        </w:rPr>
        <w:t xml:space="preserve">日</w:t>
      </w:r>
      <w:r>
        <w:rPr>
          <w:rFonts w:hint="eastAsia" w:ascii="宋体" w:hAnsi="宋体"/>
          <w:sz w:val="24"/>
        </w:rPr>
      </w:r>
      <w:r/>
    </w:p>
    <w:p>
      <w:pPr>
        <w:pStyle w:val="682"/>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82"/>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受淮安市医疗保障局的委托，淮安市政府采购中心就城乡居民和职工大病保险选择保险服务机构政府采购项目进行公开招标采购，现邀请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94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9425"/>
                        </a:xfrm>
                        <a:prstGeom prst="rect">
                          <a:avLst/>
                        </a:prstGeom>
                        <a:solidFill>
                          <a:srgbClr val="FFFFFF"/>
                        </a:solidFill>
                        <a:ln>
                          <a:solidFill>
                            <a:srgbClr val="000000"/>
                          </a:solidFill>
                        </a:ln>
                      </wps:spPr>
                      <wps:txbx>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淮安市城乡居民和职工大病保险选择保险服务机构</w:t>
                            </w:r>
                            <w:r>
                              <w:rPr>
                                <w:rFonts w:hint="eastAsia" w:ascii="仿宋" w:hAnsi="仿宋" w:eastAsia="仿宋"/>
                                <w:sz w:val="28"/>
                                <w:szCs w:val="28"/>
                              </w:rPr>
                              <w:t xml:space="preserve">招标项目的潜在投标人应在淮安市政府采购网（http://czj.huaian.gov.cn/col/13924_326175/index.html）自行免费下载招标文件，并于2026年3月23日9点30分（北京时间）前提交投标文件。</w:t>
                            </w:r>
                            <w:r>
                              <w:rPr>
                                <w:rFonts w:ascii="仿宋" w:hAnsi="仿宋" w:eastAsia="仿宋"/>
                                <w:sz w:val="28"/>
                                <w:szCs w:val="28"/>
                              </w:rPr>
                            </w:r>
                            <w:r/>
                          </w:p>
                          <w:p>
                            <w:pPr>
                              <w:pStyle w:val="68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8pt;mso-wrap-distance-left:9.0pt;mso-wrap-distance-top:0.0pt;mso-wrap-distance-right:9.0pt;mso-wrap-distance-bottom:0.0pt;visibility:visible;" fillcolor="#FFFFFF" strokecolor="#000000">
                <v:textbox inset="0,0,0,0">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淮安市城乡居民和职工大病保险选择保险服务机构</w:t>
                      </w:r>
                      <w:r>
                        <w:rPr>
                          <w:rFonts w:hint="eastAsia" w:ascii="仿宋" w:hAnsi="仿宋" w:eastAsia="仿宋"/>
                          <w:sz w:val="28"/>
                          <w:szCs w:val="28"/>
                        </w:rPr>
                        <w:t xml:space="preserve">招标项目的潜在投标人应在淮安市政府采购网（http://czj.huaian.gov.cn/col/13924_326175/index.html）自行免费下载招标文件，并于2026年3月23日9点30分（北京时间）前提交投标文件。</w:t>
                      </w:r>
                      <w:r>
                        <w:rPr>
                          <w:rFonts w:ascii="仿宋" w:hAnsi="仿宋" w:eastAsia="仿宋"/>
                          <w:sz w:val="28"/>
                          <w:szCs w:val="28"/>
                        </w:rPr>
                      </w:r>
                      <w:r/>
                    </w:p>
                    <w:p>
                      <w:pPr>
                        <w:pStyle w:val="682"/>
                      </w:pPr>
                      <w:r/>
                      <w:r/>
                    </w:p>
                  </w:txbxContent>
                </v:textbox>
              </v:shape>
            </w:pict>
          </mc:Fallback>
        </mc:AlternateContent>
      </w: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2"/>
        <w:ind w:firstLine="560"/>
        <w:keepLines w:val="0"/>
        <w:keepNext w:val="0"/>
        <w:pageBreakBefore w:val="0"/>
        <w:spacing w:line="520" w:lineRule="exact"/>
        <w:widowControl w:val="off"/>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（一）项目编号:JSZC-320800-JZCG-G2026-0011</w:t>
      </w:r>
      <w:r>
        <w:rPr>
          <w:rFonts w:hint="eastAsia"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（二）项目名称:淮安市城乡居民和职工大病保险选择保险服务机构</w:t>
      </w:r>
      <w:r>
        <w:rPr>
          <w:rFonts w:hint="eastAsia" w:ascii="仿宋" w:hAnsi="仿宋" w:eastAsia="仿宋"/>
          <w:bCs/>
          <w:sz w:val="28"/>
        </w:rPr>
        <w:t xml:space="preserve"> </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（三）预算金额:146,700万元</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（投标人报价仅需报综合管理成本）</w:t>
      </w:r>
      <w:r>
        <w:rPr>
          <w:rFonts w:hint="eastAsia" w:ascii="仿宋" w:hAnsi="仿宋" w:eastAsia="仿宋"/>
          <w:sz w:val="28"/>
          <w:szCs w:val="28"/>
          <w:lang w:eastAsia="zh-CN"/>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（1）综合管理成本（</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个</w:t>
      </w:r>
      <w:r>
        <w:rPr>
          <w:rFonts w:hint="eastAsia" w:ascii="仿宋" w:hAnsi="仿宋" w:eastAsia="仿宋"/>
          <w:sz w:val="28"/>
          <w:szCs w:val="28"/>
          <w:lang w:eastAsia="zh-CN"/>
        </w:rPr>
        <w:t xml:space="preserve">包</w:t>
      </w:r>
      <w:r>
        <w:rPr>
          <w:rFonts w:hint="eastAsia" w:ascii="仿宋" w:hAnsi="仿宋" w:eastAsia="仿宋"/>
          <w:sz w:val="28"/>
          <w:szCs w:val="28"/>
        </w:rPr>
        <w:t xml:space="preserve">均适用）：</w:t>
      </w:r>
      <w:r>
        <w:rPr>
          <w:rFonts w:hint="eastAsia"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rPr>
        <w:t xml:space="preserve">本项目</w:t>
      </w:r>
      <w:r>
        <w:rPr>
          <w:rFonts w:hint="eastAsia" w:ascii="仿宋" w:hAnsi="仿宋" w:eastAsia="仿宋"/>
          <w:color w:val="000000"/>
          <w:sz w:val="28"/>
          <w:szCs w:val="28"/>
          <w:lang w:eastAsia="zh-CN"/>
        </w:rPr>
        <w:t xml:space="preserve">共分为三个采购包，每个采购包的</w:t>
      </w:r>
      <w:r>
        <w:rPr>
          <w:rFonts w:hint="eastAsia" w:ascii="仿宋" w:hAnsi="仿宋" w:eastAsia="仿宋"/>
          <w:color w:val="000000"/>
          <w:sz w:val="28"/>
          <w:szCs w:val="28"/>
        </w:rPr>
        <w:t xml:space="preserve">综合管理成本采购预算为0.</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元/每服务一个参保人员</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三</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rPr>
      </w:r>
      <w:r/>
    </w:p>
    <w:p>
      <w:pPr>
        <w:pStyle w:val="682"/>
        <w:ind w:firstLine="565"/>
        <w:keepLines w:val="0"/>
        <w:keepNext w:val="0"/>
        <w:pageBreakBefore w:val="0"/>
        <w:spacing w:line="520" w:lineRule="exact"/>
        <w:rPr>
          <w:rFonts w:hint="eastAsia" w:ascii="仿宋" w:hAnsi="仿宋" w:eastAsia="仿宋"/>
          <w:color w:val="000000"/>
          <w:sz w:val="28"/>
          <w:szCs w:val="28"/>
          <w:highlight w:val="none"/>
          <w:lang w:eastAsia="zh-CN"/>
        </w:rPr>
        <w:outlineLvl w:val="9"/>
      </w:pPr>
      <w:r>
        <w:rPr>
          <w:rFonts w:hint="eastAsia" w:ascii="仿宋" w:hAnsi="仿宋" w:eastAsia="仿宋"/>
          <w:color w:val="000000"/>
          <w:sz w:val="28"/>
          <w:szCs w:val="28"/>
          <w:highlight w:val="none"/>
        </w:rPr>
        <w:t xml:space="preserve">（2）大病保险费：</w:t>
      </w:r>
      <w:r>
        <w:rPr>
          <w:rFonts w:hint="eastAsia" w:ascii="仿宋" w:hAnsi="仿宋" w:eastAsia="仿宋"/>
          <w:color w:val="000000"/>
          <w:sz w:val="28"/>
          <w:szCs w:val="28"/>
          <w:highlight w:val="none"/>
          <w:lang w:eastAsia="zh-CN"/>
        </w:rPr>
        <w:t xml:space="preserve">（该项无需报价）</w:t>
      </w:r>
      <w:r>
        <w:rPr>
          <w:rFonts w:hint="eastAsia" w:ascii="仿宋" w:hAnsi="仿宋" w:eastAsia="仿宋"/>
          <w:color w:val="000000"/>
          <w:sz w:val="28"/>
          <w:szCs w:val="28"/>
          <w:highlight w:val="none"/>
          <w:lang w:eastAsia="zh-CN"/>
        </w:rPr>
      </w:r>
      <w:r/>
    </w:p>
    <w:p>
      <w:pPr>
        <w:pStyle w:val="682"/>
        <w:ind w:firstLine="56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年度，全市城乡居民大病保险筹资标准为110元/人，职工大病保险筹资标准为90元/人。按照202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年1月底的参保人数，预计</w:t>
      </w:r>
      <w:r>
        <w:rPr>
          <w:rFonts w:hint="eastAsia" w:ascii="仿宋" w:hAnsi="仿宋" w:eastAsia="仿宋"/>
          <w:color w:val="000000"/>
          <w:sz w:val="28"/>
          <w:szCs w:val="28"/>
          <w:highlight w:val="none"/>
          <w:lang w:val="en-US" w:eastAsia="zh-CN"/>
        </w:rPr>
        <w:t xml:space="preserve">三</w:t>
      </w:r>
      <w:r>
        <w:rPr>
          <w:rFonts w:hint="eastAsia" w:ascii="仿宋" w:hAnsi="仿宋" w:eastAsia="仿宋"/>
          <w:color w:val="000000"/>
          <w:sz w:val="28"/>
          <w:szCs w:val="28"/>
          <w:highlight w:val="none"/>
        </w:rPr>
        <w:t xml:space="preserve">个</w:t>
      </w:r>
      <w:r>
        <w:rPr>
          <w:rFonts w:hint="eastAsia" w:ascii="仿宋" w:hAnsi="仿宋" w:eastAsia="仿宋"/>
          <w:color w:val="000000"/>
          <w:sz w:val="28"/>
          <w:szCs w:val="28"/>
          <w:highlight w:val="none"/>
          <w:lang w:eastAsia="zh-CN"/>
        </w:rPr>
        <w:t xml:space="preserve">采购包</w:t>
      </w:r>
      <w:r>
        <w:rPr>
          <w:rFonts w:hint="eastAsia" w:ascii="仿宋" w:hAnsi="仿宋" w:eastAsia="仿宋"/>
          <w:color w:val="000000"/>
          <w:sz w:val="28"/>
          <w:szCs w:val="28"/>
          <w:highlight w:val="none"/>
        </w:rPr>
        <w:t xml:space="preserve">每年度大病保险费金额分别为：</w:t>
      </w:r>
      <w:r>
        <w:rPr>
          <w:rFonts w:hint="eastAsia" w:ascii="仿宋" w:hAnsi="仿宋" w:eastAsia="仿宋"/>
          <w:color w:val="000000"/>
          <w:sz w:val="28"/>
          <w:szCs w:val="28"/>
          <w:highlight w:val="none"/>
        </w:rPr>
      </w:r>
      <w:r/>
    </w:p>
    <w:tbl>
      <w:tblPr>
        <w:tblStyle w:val="77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5"/>
        <w:gridCol w:w="2858"/>
        <w:gridCol w:w="2475"/>
        <w:gridCol w:w="1979"/>
      </w:tblGrid>
      <w:tr>
        <w:trPr>
          <w:trHeight w:val="657"/>
        </w:trPr>
        <w:tc>
          <w:tcPr>
            <w:tcW w:w="1595"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采购包号</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城乡居民大病保险费</w:t>
            </w:r>
            <w:r>
              <w:rPr>
                <w:rFonts w:hint="eastAsia" w:ascii="仿宋" w:hAnsi="仿宋" w:eastAsia="仿宋" w:cs="Times New Roman"/>
                <w:color w:val="000000"/>
                <w:sz w:val="28"/>
                <w:szCs w:val="28"/>
                <w:highlight w:val="none"/>
                <w:lang w:val="en-US" w:eastAsia="zh-CN" w:bidi="ar-SA"/>
              </w:rPr>
            </w:r>
            <w:r/>
          </w:p>
          <w:p>
            <w:pPr>
              <w:pStyle w:val="682"/>
              <w:ind w:left="0" w:right="0"/>
              <w:jc w:val="center"/>
              <w:keepLines w:val="0"/>
              <w:keepNext w:val="0"/>
              <w:spacing w:before="0" w:beforeAutospacing="0" w:after="0" w:afterAutospacing="0"/>
              <w:rPr>
                <w:rFonts w:hint="eastAsia" w:ascii="Times New Roman" w:hAnsi="Times New Roman" w:eastAsia="宋体" w:cs="Times New Roman"/>
                <w:color w:val="000000"/>
                <w:highlight w:val="none"/>
                <w:lang w:val="en-US" w:eastAsia="zh-CN"/>
              </w:rPr>
              <w:suppressLineNumbers w:val="0"/>
            </w:pPr>
            <w:r>
              <w:rPr>
                <w:rFonts w:hint="eastAsia" w:ascii="仿宋" w:hAnsi="仿宋" w:eastAsia="仿宋" w:cs="Times New Roman"/>
                <w:color w:val="000000"/>
                <w:sz w:val="28"/>
                <w:szCs w:val="28"/>
                <w:highlight w:val="none"/>
                <w:lang w:val="en-US" w:eastAsia="zh-CN" w:bidi="ar-SA"/>
              </w:rPr>
              <w:t xml:space="preserve">（万元）</w:t>
            </w:r>
            <w:r>
              <w:rPr>
                <w:rFonts w:hint="eastAsia" w:ascii="Times New Roman" w:hAnsi="Times New Roman" w:eastAsia="宋体" w:cs="Times New Roman"/>
                <w:color w:val="000000"/>
                <w:highlight w:val="none"/>
                <w:lang w:val="en-US" w:eastAsia="zh-CN"/>
              </w:rPr>
            </w:r>
            <w:r/>
          </w:p>
        </w:tc>
        <w:tc>
          <w:tcPr>
            <w:tcW w:w="2475"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职工大病保险费</w:t>
            </w:r>
            <w:r>
              <w:rPr>
                <w:rFonts w:hint="eastAsia" w:ascii="仿宋" w:hAnsi="仿宋" w:eastAsia="仿宋" w:cs="Times New Roman"/>
                <w:color w:val="000000"/>
                <w:sz w:val="28"/>
                <w:szCs w:val="28"/>
                <w:highlight w:val="none"/>
                <w:lang w:val="en-US" w:eastAsia="zh-CN" w:bidi="ar-SA"/>
              </w:rPr>
            </w:r>
            <w:r/>
          </w:p>
          <w:p>
            <w:pPr>
              <w:pStyle w:val="682"/>
              <w:ind w:left="0" w:right="0"/>
              <w:jc w:val="center"/>
              <w:keepLines w:val="0"/>
              <w:keepNext w:val="0"/>
              <w:spacing w:before="0" w:beforeAutospacing="0" w:after="0" w:afterAutospacing="0"/>
              <w:rPr>
                <w:rFonts w:hint="eastAsia" w:ascii="Times New Roman" w:hAnsi="Times New Roman" w:eastAsia="宋体" w:cs="Times New Roman"/>
                <w:color w:val="000000"/>
                <w:highlight w:val="none"/>
                <w:lang w:val="en-US" w:eastAsia="zh-CN"/>
              </w:rPr>
              <w:suppressLineNumbers w:val="0"/>
            </w:pPr>
            <w:r>
              <w:rPr>
                <w:rFonts w:hint="eastAsia" w:ascii="仿宋" w:hAnsi="仿宋" w:eastAsia="仿宋" w:cs="Times New Roman"/>
                <w:color w:val="000000"/>
                <w:sz w:val="28"/>
                <w:szCs w:val="28"/>
                <w:highlight w:val="none"/>
                <w:lang w:val="en-US" w:eastAsia="zh-CN" w:bidi="ar-SA"/>
              </w:rPr>
              <w:t xml:space="preserve">（万元）</w:t>
            </w:r>
            <w:r>
              <w:rPr>
                <w:rFonts w:hint="eastAsia" w:ascii="Times New Roman" w:hAnsi="Times New Roman" w:eastAsia="宋体" w:cs="Times New Roman"/>
                <w:color w:val="000000"/>
                <w:highlight w:val="none"/>
                <w:lang w:val="en-US" w:eastAsia="zh-CN"/>
              </w:rPr>
            </w:r>
            <w:r/>
          </w:p>
        </w:tc>
        <w:tc>
          <w:tcPr>
            <w:tcW w:w="1979"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hint="eastAsia"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合计保费</w:t>
            </w:r>
            <w:r>
              <w:rPr>
                <w:rFonts w:hint="eastAsia" w:ascii="仿宋" w:hAnsi="仿宋" w:eastAsia="仿宋" w:cs="Times New Roman"/>
                <w:color w:val="000000"/>
                <w:sz w:val="28"/>
                <w:szCs w:val="28"/>
                <w:highlight w:val="none"/>
                <w:lang w:val="en-US" w:eastAsia="zh-CN" w:bidi="ar-SA"/>
              </w:rPr>
            </w:r>
            <w:r/>
          </w:p>
          <w:p>
            <w:pPr>
              <w:pStyle w:val="682"/>
              <w:ind w:left="0" w:right="0"/>
              <w:jc w:val="center"/>
              <w:keepLines w:val="0"/>
              <w:keepNext w:val="0"/>
              <w:spacing w:before="0" w:beforeAutospacing="0" w:after="0" w:afterAutospacing="0"/>
              <w:rPr>
                <w:rFonts w:hint="eastAsia" w:ascii="Times New Roman" w:hAnsi="Times New Roman" w:eastAsia="宋体" w:cs="Times New Roman"/>
                <w:color w:val="000000"/>
                <w:highlight w:val="none"/>
                <w:lang w:val="en-US" w:eastAsia="zh-CN"/>
              </w:rPr>
              <w:suppressLineNumbers w:val="0"/>
            </w:pPr>
            <w:r>
              <w:rPr>
                <w:rFonts w:hint="eastAsia" w:ascii="仿宋" w:hAnsi="仿宋" w:eastAsia="仿宋" w:cs="Times New Roman"/>
                <w:color w:val="000000"/>
                <w:sz w:val="28"/>
                <w:szCs w:val="28"/>
                <w:highlight w:val="none"/>
                <w:lang w:val="en-US" w:eastAsia="zh-CN" w:bidi="ar-SA"/>
              </w:rPr>
              <w:t xml:space="preserve">（万元）</w:t>
            </w:r>
            <w:r>
              <w:rPr>
                <w:rFonts w:hint="eastAsia" w:ascii="Times New Roman" w:hAnsi="Times New Roman" w:eastAsia="宋体" w:cs="Times New Roman"/>
                <w:color w:val="000000"/>
                <w:highlight w:val="none"/>
                <w:lang w:val="en-US" w:eastAsia="zh-CN"/>
              </w:rPr>
            </w:r>
            <w:r/>
          </w:p>
        </w:tc>
      </w:tr>
      <w:tr>
        <w:trPr/>
        <w:tc>
          <w:tcPr>
            <w:tcW w:w="1595" w:type="dxa"/>
            <w:vAlign w:val="top"/>
            <w:textDirection w:val="lrTb"/>
            <w:noWrap w:val="false"/>
          </w:tcPr>
          <w:p>
            <w:pPr>
              <w:pStyle w:val="682"/>
              <w:ind w:left="0" w:right="0"/>
              <w:jc w:val="center"/>
              <w:keepLines w:val="0"/>
              <w:keepNext w:val="0"/>
              <w:pageBreakBefore w:val="0"/>
              <w:spacing w:before="0" w:beforeAutospacing="0" w:after="0" w:afterAutospacing="0" w:line="520" w:lineRule="exact"/>
              <w:rPr>
                <w:rFonts w:hint="eastAsia" w:ascii="仿宋" w:hAnsi="仿宋" w:eastAsia="仿宋" w:cs="Times New Roman"/>
                <w:color w:val="000000"/>
                <w:sz w:val="28"/>
                <w:szCs w:val="28"/>
                <w:highlight w:val="none"/>
                <w:lang w:val="en-US" w:eastAsia="zh-CN" w:bidi="ar-SA"/>
              </w:rPr>
              <w:outlineLvl w:val="9"/>
              <w:suppressLineNumbers w:val="0"/>
            </w:pPr>
            <w:r>
              <w:rPr>
                <w:rFonts w:hint="eastAsia" w:ascii="仿宋" w:hAnsi="仿宋" w:eastAsia="仿宋" w:cs="Times New Roman"/>
                <w:color w:val="000000"/>
                <w:sz w:val="28"/>
                <w:szCs w:val="28"/>
                <w:highlight w:val="none"/>
                <w:lang w:val="en-US" w:eastAsia="zh-CN" w:bidi="ar-SA"/>
              </w:rPr>
              <w:t xml:space="preserve">第一包</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17077</w:t>
            </w:r>
            <w:r>
              <w:rPr>
                <w:rFonts w:ascii="仿宋" w:hAnsi="仿宋" w:eastAsia="仿宋" w:cs="Times New Roman"/>
                <w:color w:val="000000"/>
                <w:sz w:val="28"/>
                <w:szCs w:val="28"/>
                <w:highlight w:val="none"/>
                <w:lang w:val="en-US" w:eastAsia="zh-CN" w:bidi="ar-SA"/>
              </w:rPr>
            </w:r>
            <w:r/>
          </w:p>
        </w:tc>
        <w:tc>
          <w:tcPr>
            <w:tcW w:w="2475"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3130</w:t>
            </w:r>
            <w:r>
              <w:rPr>
                <w:rFonts w:ascii="仿宋" w:hAnsi="仿宋" w:eastAsia="仿宋" w:cs="Times New Roman"/>
                <w:color w:val="000000"/>
                <w:sz w:val="28"/>
                <w:szCs w:val="28"/>
                <w:highlight w:val="none"/>
                <w:lang w:val="en-US" w:eastAsia="zh-CN" w:bidi="ar-SA"/>
              </w:rPr>
            </w:r>
            <w:r/>
          </w:p>
        </w:tc>
        <w:tc>
          <w:tcPr>
            <w:tcW w:w="1979"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20207</w:t>
            </w:r>
            <w:r>
              <w:rPr>
                <w:rFonts w:ascii="仿宋" w:hAnsi="仿宋" w:eastAsia="仿宋" w:cs="Times New Roman"/>
                <w:color w:val="000000"/>
                <w:sz w:val="28"/>
                <w:szCs w:val="28"/>
                <w:highlight w:val="none"/>
                <w:lang w:val="en-US" w:eastAsia="zh-CN" w:bidi="ar-SA"/>
              </w:rPr>
            </w:r>
            <w:r/>
          </w:p>
        </w:tc>
      </w:tr>
      <w:tr>
        <w:trPr/>
        <w:tc>
          <w:tcPr>
            <w:tcW w:w="1595" w:type="dxa"/>
            <w:vAlign w:val="top"/>
            <w:textDirection w:val="lrTb"/>
            <w:noWrap w:val="false"/>
          </w:tcPr>
          <w:p>
            <w:pPr>
              <w:pStyle w:val="682"/>
              <w:ind w:left="0" w:right="0"/>
              <w:jc w:val="center"/>
              <w:keepLines w:val="0"/>
              <w:keepNext w:val="0"/>
              <w:pageBreakBefore w:val="0"/>
              <w:spacing w:before="0" w:beforeAutospacing="0" w:after="0" w:afterAutospacing="0" w:line="520" w:lineRule="exact"/>
              <w:rPr>
                <w:rFonts w:hint="eastAsia" w:ascii="仿宋" w:hAnsi="仿宋" w:eastAsia="仿宋" w:cs="Times New Roman"/>
                <w:color w:val="000000"/>
                <w:sz w:val="28"/>
                <w:szCs w:val="28"/>
                <w:highlight w:val="none"/>
                <w:lang w:val="en-US" w:eastAsia="zh-CN" w:bidi="ar-SA"/>
              </w:rPr>
              <w:outlineLvl w:val="9"/>
              <w:suppressLineNumbers w:val="0"/>
            </w:pPr>
            <w:r>
              <w:rPr>
                <w:rFonts w:hint="eastAsia" w:ascii="仿宋" w:hAnsi="仿宋" w:eastAsia="仿宋" w:cs="Times New Roman"/>
                <w:color w:val="000000"/>
                <w:sz w:val="28"/>
                <w:szCs w:val="28"/>
                <w:highlight w:val="none"/>
                <w:lang w:val="en-US" w:eastAsia="zh-CN" w:bidi="ar-SA"/>
              </w:rPr>
              <w:t xml:space="preserve">第二包</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10273</w:t>
            </w:r>
            <w:r>
              <w:rPr>
                <w:rFonts w:ascii="仿宋" w:hAnsi="仿宋" w:eastAsia="仿宋" w:cs="Times New Roman"/>
                <w:color w:val="000000"/>
                <w:sz w:val="28"/>
                <w:szCs w:val="28"/>
                <w:highlight w:val="none"/>
                <w:lang w:val="en-US" w:eastAsia="zh-CN" w:bidi="ar-SA"/>
              </w:rPr>
            </w:r>
            <w:r/>
          </w:p>
        </w:tc>
        <w:tc>
          <w:tcPr>
            <w:tcW w:w="2475"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4597</w:t>
            </w:r>
            <w:r>
              <w:rPr>
                <w:rFonts w:ascii="仿宋" w:hAnsi="仿宋" w:eastAsia="仿宋" w:cs="Times New Roman"/>
                <w:color w:val="000000"/>
                <w:sz w:val="28"/>
                <w:szCs w:val="28"/>
                <w:highlight w:val="none"/>
                <w:lang w:val="en-US" w:eastAsia="zh-CN" w:bidi="ar-SA"/>
              </w:rPr>
            </w:r>
            <w:r/>
          </w:p>
        </w:tc>
        <w:tc>
          <w:tcPr>
            <w:tcW w:w="1979"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14869</w:t>
            </w:r>
            <w:r>
              <w:rPr>
                <w:rFonts w:ascii="仿宋" w:hAnsi="仿宋" w:eastAsia="仿宋" w:cs="Times New Roman"/>
                <w:color w:val="000000"/>
                <w:sz w:val="28"/>
                <w:szCs w:val="28"/>
                <w:highlight w:val="none"/>
                <w:lang w:val="en-US" w:eastAsia="zh-CN" w:bidi="ar-SA"/>
              </w:rPr>
            </w:r>
            <w:r/>
          </w:p>
        </w:tc>
      </w:tr>
      <w:tr>
        <w:trPr/>
        <w:tc>
          <w:tcPr>
            <w:tcW w:w="1595" w:type="dxa"/>
            <w:vAlign w:val="top"/>
            <w:textDirection w:val="lrTb"/>
            <w:noWrap w:val="false"/>
          </w:tcPr>
          <w:p>
            <w:pPr>
              <w:pStyle w:val="682"/>
              <w:ind w:left="0" w:right="0"/>
              <w:jc w:val="center"/>
              <w:keepLines w:val="0"/>
              <w:keepNext w:val="0"/>
              <w:pageBreakBefore w:val="0"/>
              <w:spacing w:before="0" w:beforeAutospacing="0" w:after="0" w:afterAutospacing="0" w:line="520" w:lineRule="exact"/>
              <w:rPr>
                <w:rFonts w:hint="eastAsia" w:ascii="仿宋" w:hAnsi="仿宋" w:eastAsia="仿宋" w:cs="Times New Roman"/>
                <w:color w:val="000000"/>
                <w:sz w:val="28"/>
                <w:szCs w:val="28"/>
                <w:highlight w:val="none"/>
                <w:lang w:val="en-US" w:eastAsia="zh-CN" w:bidi="ar-SA"/>
              </w:rPr>
              <w:outlineLvl w:val="9"/>
              <w:suppressLineNumbers w:val="0"/>
            </w:pPr>
            <w:r>
              <w:rPr>
                <w:rFonts w:hint="eastAsia" w:ascii="仿宋" w:hAnsi="仿宋" w:eastAsia="仿宋" w:cs="Times New Roman"/>
                <w:color w:val="000000"/>
                <w:sz w:val="28"/>
                <w:szCs w:val="28"/>
                <w:highlight w:val="none"/>
                <w:lang w:val="en-US" w:eastAsia="zh-CN" w:bidi="ar-SA"/>
              </w:rPr>
              <w:t xml:space="preserve">第三包</w:t>
            </w:r>
            <w:r>
              <w:rPr>
                <w:rFonts w:hint="eastAsia" w:ascii="仿宋" w:hAnsi="仿宋" w:eastAsia="仿宋" w:cs="Times New Roman"/>
                <w:color w:val="000000"/>
                <w:sz w:val="28"/>
                <w:szCs w:val="28"/>
                <w:highlight w:val="none"/>
                <w:lang w:val="en-US" w:eastAsia="zh-CN" w:bidi="ar-SA"/>
              </w:rPr>
            </w:r>
            <w:r/>
          </w:p>
        </w:tc>
        <w:tc>
          <w:tcPr>
            <w:tcW w:w="2858"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11364</w:t>
            </w:r>
            <w:r>
              <w:rPr>
                <w:rFonts w:ascii="仿宋" w:hAnsi="仿宋" w:eastAsia="仿宋" w:cs="Times New Roman"/>
                <w:color w:val="000000"/>
                <w:sz w:val="28"/>
                <w:szCs w:val="28"/>
                <w:highlight w:val="none"/>
                <w:lang w:val="en-US" w:eastAsia="zh-CN" w:bidi="ar-SA"/>
              </w:rPr>
            </w:r>
            <w:r/>
          </w:p>
        </w:tc>
        <w:tc>
          <w:tcPr>
            <w:tcW w:w="2475"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2596</w:t>
            </w:r>
            <w:r>
              <w:rPr>
                <w:rFonts w:ascii="仿宋" w:hAnsi="仿宋" w:eastAsia="仿宋" w:cs="Times New Roman"/>
                <w:color w:val="000000"/>
                <w:sz w:val="28"/>
                <w:szCs w:val="28"/>
                <w:highlight w:val="none"/>
                <w:lang w:val="en-US" w:eastAsia="zh-CN" w:bidi="ar-SA"/>
              </w:rPr>
            </w:r>
            <w:r/>
          </w:p>
        </w:tc>
        <w:tc>
          <w:tcPr>
            <w:tcW w:w="1979" w:type="dxa"/>
            <w:vAlign w:val="center"/>
            <w:textDirection w:val="lrTb"/>
            <w:noWrap w:val="false"/>
          </w:tcPr>
          <w:p>
            <w:pPr>
              <w:pStyle w:val="690"/>
              <w:ind w:left="0" w:right="0" w:firstLine="0"/>
              <w:jc w:val="center"/>
              <w:keepLines w:val="0"/>
              <w:keepNext w:val="0"/>
              <w:pageBreakBefore w:val="0"/>
              <w:spacing w:before="0" w:beforeAutospacing="0" w:after="0" w:afterAutospacing="0" w:line="320" w:lineRule="exact"/>
              <w:widowControl w:val="off"/>
              <w:rPr>
                <w:rFonts w:ascii="仿宋" w:hAnsi="仿宋" w:eastAsia="仿宋" w:cs="Times New Roman"/>
                <w:color w:val="000000"/>
                <w:sz w:val="28"/>
                <w:szCs w:val="28"/>
                <w:highlight w:val="none"/>
                <w:lang w:val="en-US" w:eastAsia="zh-CN" w:bidi="ar-SA"/>
              </w:rPr>
              <w:suppressLineNumbers w:val="0"/>
            </w:pPr>
            <w:r>
              <w:rPr>
                <w:rFonts w:hint="eastAsia" w:ascii="仿宋" w:hAnsi="仿宋" w:eastAsia="仿宋" w:cs="Times New Roman"/>
                <w:color w:val="000000"/>
                <w:sz w:val="28"/>
                <w:szCs w:val="28"/>
                <w:highlight w:val="none"/>
                <w:lang w:val="en-US" w:eastAsia="zh-CN" w:bidi="ar-SA"/>
              </w:rPr>
              <w:t xml:space="preserve">13960</w:t>
            </w:r>
            <w:r>
              <w:rPr>
                <w:rFonts w:ascii="仿宋" w:hAnsi="仿宋" w:eastAsia="仿宋" w:cs="Times New Roman"/>
                <w:color w:val="000000"/>
                <w:sz w:val="28"/>
                <w:szCs w:val="28"/>
                <w:highlight w:val="none"/>
                <w:lang w:val="en-US" w:eastAsia="zh-CN" w:bidi="ar-SA"/>
              </w:rPr>
            </w:r>
            <w:r/>
          </w:p>
        </w:tc>
      </w:tr>
    </w:tbl>
    <w:p>
      <w:pPr>
        <w:pStyle w:val="682"/>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r>
      <w:r/>
    </w:p>
    <w:p>
      <w:pPr>
        <w:pStyle w:val="682"/>
        <w:numPr>
          <w:ilvl w:val="0"/>
          <w:numId w:val="4"/>
        </w:num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最高限价:综合管理成本报价设置最高限价，即每个包所投的综合管理成本（每服务一个参保人员）的最高投标报价不得超过0.9元/三年。</w:t>
      </w:r>
      <w:r>
        <w:rPr>
          <w:rFonts w:hint="eastAsia" w:ascii="仿宋" w:hAnsi="仿宋" w:eastAsia="仿宋"/>
          <w:sz w:val="28"/>
          <w:szCs w:val="28"/>
        </w:rPr>
      </w:r>
      <w:r/>
    </w:p>
    <w:p>
      <w:pPr>
        <w:pStyle w:val="682"/>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采购需求:本次项目共分为三个包，每个包确定一家商业保险公司，为淮安市城乡居民和职工大病保险提供服务，项目服务期为三年。投标人可投其中一个包，也可投多个包，但只可中一个包。详见招标文件第五章。</w:t>
      </w:r>
      <w:r>
        <w:rPr>
          <w:rFonts w:hint="eastAsia" w:ascii="仿宋" w:hAnsi="仿宋" w:eastAsia="仿宋"/>
          <w:sz w:val="28"/>
          <w:szCs w:val="28"/>
        </w:rPr>
      </w:r>
      <w:r/>
    </w:p>
    <w:p>
      <w:pPr>
        <w:pStyle w:val="682"/>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分别为：</w:t>
      </w:r>
      <w:r>
        <w:rPr>
          <w:rFonts w:hint="eastAsia" w:ascii="仿宋" w:hAnsi="仿宋" w:eastAsia="仿宋"/>
          <w:sz w:val="28"/>
          <w:szCs w:val="28"/>
        </w:rPr>
      </w:r>
      <w:r/>
    </w:p>
    <w:p>
      <w:pPr>
        <w:pStyle w:val="682"/>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w:t>
      </w:r>
      <w:r>
        <w:rPr>
          <w:rFonts w:hint="eastAsia" w:ascii="仿宋" w:hAnsi="仿宋" w:eastAsia="仿宋"/>
          <w:sz w:val="28"/>
          <w:szCs w:val="28"/>
          <w:lang w:eastAsia="zh-CN"/>
        </w:rPr>
        <w:t xml:space="preserve">包</w:t>
      </w:r>
      <w:r>
        <w:rPr>
          <w:rFonts w:hint="eastAsia" w:ascii="仿宋" w:hAnsi="仿宋" w:eastAsia="仿宋"/>
          <w:sz w:val="28"/>
          <w:szCs w:val="28"/>
        </w:rPr>
        <w:t xml:space="preserve">：清江浦区、盱眙县、涟水县；</w:t>
      </w:r>
      <w:r>
        <w:rPr>
          <w:rFonts w:hint="eastAsia" w:ascii="仿宋" w:hAnsi="仿宋" w:eastAsia="仿宋"/>
          <w:sz w:val="28"/>
          <w:szCs w:val="28"/>
        </w:rPr>
      </w:r>
      <w:r/>
    </w:p>
    <w:p>
      <w:pPr>
        <w:pStyle w:val="682"/>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w:t>
      </w:r>
      <w:r>
        <w:rPr>
          <w:rFonts w:hint="eastAsia" w:ascii="仿宋" w:hAnsi="仿宋" w:eastAsia="仿宋"/>
          <w:sz w:val="28"/>
          <w:szCs w:val="28"/>
          <w:lang w:eastAsia="zh-CN"/>
        </w:rPr>
        <w:t xml:space="preserve">包</w:t>
      </w:r>
      <w:r>
        <w:rPr>
          <w:rFonts w:hint="eastAsia" w:ascii="仿宋" w:hAnsi="仿宋" w:eastAsia="仿宋"/>
          <w:sz w:val="28"/>
          <w:szCs w:val="28"/>
        </w:rPr>
        <w:t xml:space="preserve">：市本级、开发区、淮安区；</w:t>
      </w:r>
      <w:r>
        <w:rPr>
          <w:rFonts w:hint="eastAsia" w:ascii="仿宋" w:hAnsi="仿宋" w:eastAsia="仿宋"/>
          <w:sz w:val="28"/>
          <w:szCs w:val="28"/>
        </w:rPr>
      </w:r>
      <w:r/>
    </w:p>
    <w:p>
      <w:pPr>
        <w:pStyle w:val="682"/>
        <w:numPr>
          <w:ilvl w:val="0"/>
          <w:numId w:val="0"/>
        </w:num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w:t>
      </w:r>
      <w:r>
        <w:rPr>
          <w:rFonts w:hint="eastAsia" w:ascii="仿宋" w:hAnsi="仿宋" w:eastAsia="仿宋"/>
          <w:sz w:val="28"/>
          <w:szCs w:val="28"/>
          <w:lang w:eastAsia="zh-CN"/>
        </w:rPr>
        <w:t xml:space="preserve">包</w:t>
      </w:r>
      <w:r>
        <w:rPr>
          <w:rFonts w:hint="eastAsia" w:ascii="仿宋" w:hAnsi="仿宋" w:eastAsia="仿宋"/>
          <w:sz w:val="28"/>
          <w:szCs w:val="28"/>
        </w:rPr>
        <w:t xml:space="preserve">：淮阴区、金湖县、洪泽区</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w:t>
      </w:r>
      <w:r>
        <w:rPr>
          <w:rFonts w:hint="eastAsia" w:ascii="仿宋" w:hAnsi="仿宋" w:eastAsia="仿宋"/>
          <w:sz w:val="28"/>
          <w:szCs w:val="28"/>
          <w:lang w:eastAsia="zh-CN"/>
        </w:rPr>
        <w:t xml:space="preserve">三年</w:t>
      </w:r>
      <w:r>
        <w:rPr>
          <w:rFonts w:hint="eastAsia" w:ascii="仿宋" w:hAnsi="仿宋" w:eastAsia="仿宋"/>
          <w:sz w:val="28"/>
          <w:szCs w:val="28"/>
        </w:rPr>
        <w:t xml:space="preserve">   </w:t>
      </w:r>
      <w:r>
        <w:rPr>
          <w:rFonts w:hint="eastAsia"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8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82"/>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82"/>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个</w:t>
      </w:r>
      <w:r>
        <w:rPr>
          <w:rFonts w:hint="eastAsia" w:ascii="仿宋" w:hAnsi="仿宋" w:eastAsia="仿宋"/>
          <w:sz w:val="28"/>
          <w:szCs w:val="28"/>
          <w:lang w:eastAsia="zh-CN"/>
        </w:rPr>
        <w:t xml:space="preserve">包</w:t>
      </w:r>
      <w:r>
        <w:rPr>
          <w:rFonts w:hint="eastAsia" w:ascii="仿宋" w:hAnsi="仿宋" w:eastAsia="仿宋"/>
          <w:sz w:val="28"/>
          <w:szCs w:val="28"/>
        </w:rPr>
        <w:t xml:space="preserve">均适用）:</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cs="Times New Roman"/>
          <w:sz w:val="28"/>
          <w:szCs w:val="28"/>
          <w:highlight w:val="none"/>
          <w:lang w:val="zh-CN"/>
        </w:rPr>
        <w:outlineLvl w:val="9"/>
      </w:pPr>
      <w:r>
        <w:rPr>
          <w:rFonts w:hint="eastAsia" w:ascii="仿宋" w:hAnsi="仿宋" w:eastAsia="仿宋" w:cs="Times New Roman"/>
          <w:sz w:val="28"/>
          <w:szCs w:val="28"/>
          <w:highlight w:val="none"/>
          <w:lang w:val="zh-CN"/>
        </w:rPr>
        <w:t xml:space="preserve">1、投标人应为保险总公司，但经投标人授权，投标人的地市级及以上分公司（支公司）等机构可以代表投标人参加投标；同一大病保险采购包，同一保险集团公司参与投标的子公司仅限一家，如两家及以上子公司参与同一采购包投标，取消这两家及以上子公司该采购包的投标资格。</w:t>
      </w:r>
      <w:r>
        <w:rPr>
          <w:rFonts w:hint="eastAsia" w:ascii="仿宋" w:hAnsi="仿宋" w:eastAsia="仿宋" w:cs="Times New Roman"/>
          <w:sz w:val="28"/>
          <w:szCs w:val="28"/>
          <w:highlight w:val="none"/>
          <w:lang w:val="zh-CN"/>
        </w:rPr>
      </w:r>
      <w:r/>
    </w:p>
    <w:p>
      <w:pPr>
        <w:pStyle w:val="682"/>
        <w:ind w:firstLine="560"/>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2、投标人须具有国家金融监督管理局颁发的经营保险业务许可证（提供证书扫描件并加盖投标人电子签章）；</w:t>
      </w:r>
      <w:r>
        <w:rPr>
          <w:rFonts w:hint="eastAsia" w:ascii="仿宋" w:hAnsi="仿宋" w:eastAsia="仿宋" w:cs="Times New Roman"/>
          <w:sz w:val="28"/>
          <w:szCs w:val="28"/>
          <w:lang w:val="zh-CN"/>
        </w:rPr>
      </w:r>
      <w:r/>
    </w:p>
    <w:p>
      <w:pPr>
        <w:pStyle w:val="682"/>
        <w:ind w:firstLine="560"/>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3、投标人或其所属的省级公司已经取得国家金融监督管理总局江苏监管局核准的在江苏省内开展大病保险业务的资质；（提供保险监督管理机构官网截图或批准文件扫描件加盖投标人电子签章）</w:t>
      </w:r>
      <w:r>
        <w:rPr>
          <w:rFonts w:hint="eastAsia" w:ascii="仿宋" w:hAnsi="仿宋" w:eastAsia="仿宋" w:cs="Times New Roman"/>
          <w:sz w:val="28"/>
          <w:szCs w:val="28"/>
          <w:lang w:val="zh-CN"/>
        </w:rPr>
      </w:r>
      <w:r/>
    </w:p>
    <w:p>
      <w:pPr>
        <w:pStyle w:val="682"/>
        <w:ind w:firstLine="560"/>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cs="Times New Roman"/>
          <w:sz w:val="28"/>
          <w:szCs w:val="28"/>
          <w:lang w:val="zh-CN"/>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82"/>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年3月23日上午9:30</w:t>
      </w:r>
      <w:r>
        <w:rPr>
          <w:rFonts w:ascii="仿宋" w:hAnsi="仿宋" w:eastAsia="仿宋"/>
          <w:sz w:val="28"/>
          <w:szCs w:val="28"/>
        </w:rPr>
      </w:r>
      <w:r/>
    </w:p>
    <w:p>
      <w:pPr>
        <w:pStyle w:val="6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82"/>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名称:淮安市医疗保障局</w:t>
      </w:r>
      <w:r>
        <w:rPr>
          <w:rFonts w:hint="eastAsia"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地址:淮安市翔宇中道150号</w:t>
      </w:r>
      <w:r>
        <w:rPr>
          <w:rFonts w:hint="eastAsia"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联系方式:杜康 0517-83998006</w:t>
      </w:r>
      <w:r>
        <w:rPr>
          <w:rFonts w:hint="eastAsia"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rPr>
          <w:rFonts w:ascii="仿宋" w:hAnsi="仿宋" w:eastAsia="仿宋"/>
          <w:sz w:val="28"/>
          <w:szCs w:val="28"/>
          <w:lang w:val="en-US" w:eastAsia="zh-CN"/>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82"/>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82"/>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82"/>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82"/>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82"/>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82"/>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82"/>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82"/>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82"/>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82"/>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82"/>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82"/>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bookmarkStart w:id="12" w:name="_Toc20823304"/>
      <w:r/>
      <w:bookmarkStart w:id="13" w:name="_Toc513029232"/>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682"/>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hint="eastAsia" w:ascii="仿宋" w:hAnsi="仿宋" w:eastAsia="仿宋"/>
          <w:sz w:val="28"/>
          <w:szCs w:val="28"/>
          <w:lang w:eastAsia="zh-CN"/>
        </w:rPr>
        <w:t xml:space="preserve">（各采购包均适用）</w:t>
      </w:r>
      <w:r>
        <w:rPr>
          <w:rFonts w:hint="eastAsia" w:ascii="仿宋" w:hAnsi="仿宋" w:eastAsia="仿宋"/>
          <w:sz w:val="28"/>
          <w:szCs w:val="28"/>
          <w:lang w:eastAsia="zh-CN"/>
        </w:rPr>
      </w:r>
      <w:r/>
    </w:p>
    <w:p>
      <w:pPr>
        <w:pStyle w:val="682"/>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682"/>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投标人未完全满足第五章项目采购需求中“</w:t>
      </w:r>
      <w:r>
        <w:rPr>
          <w:rFonts w:hint="eastAsia" w:ascii="仿宋" w:hAnsi="仿宋" w:eastAsia="仿宋"/>
          <w:sz w:val="28"/>
          <w:szCs w:val="28"/>
        </w:rPr>
        <w:t xml:space="preserve">★</w:t>
      </w:r>
      <w:r>
        <w:rPr>
          <w:rFonts w:hint="eastAsia" w:ascii="仿宋" w:hAnsi="仿宋" w:eastAsia="仿宋"/>
          <w:sz w:val="28"/>
          <w:szCs w:val="28"/>
          <w:lang w:eastAsia="zh-CN"/>
        </w:rPr>
        <w:t xml:space="preserve">”要求的；</w:t>
      </w:r>
      <w:r>
        <w:rPr>
          <w:rFonts w:hint="eastAsia" w:ascii="仿宋" w:hAnsi="仿宋" w:eastAsia="仿宋"/>
          <w:sz w:val="28"/>
          <w:szCs w:val="28"/>
          <w:lang w:val="en-US" w:eastAsia="zh-CN"/>
        </w:rPr>
      </w:r>
      <w:r/>
    </w:p>
    <w:p>
      <w:pPr>
        <w:pStyle w:val="682"/>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4投标人未按照采购文件第五章“</w:t>
      </w:r>
      <w:r>
        <w:rPr>
          <w:rFonts w:ascii="仿宋" w:hAnsi="仿宋" w:eastAsia="仿宋"/>
          <w:sz w:val="28"/>
          <w:szCs w:val="28"/>
        </w:rPr>
        <w:t xml:space="preserve">三、合作业务内容</w:t>
      </w:r>
      <w:r>
        <w:rPr>
          <w:rFonts w:hint="eastAsia" w:ascii="仿宋" w:hAnsi="仿宋" w:eastAsia="仿宋"/>
          <w:sz w:val="28"/>
          <w:szCs w:val="28"/>
          <w:lang w:eastAsia="zh-CN"/>
        </w:rPr>
        <w:t xml:space="preserve">”、“</w:t>
      </w:r>
      <w:r>
        <w:rPr>
          <w:rFonts w:ascii="仿宋" w:hAnsi="仿宋" w:eastAsia="仿宋" w:cs="Times New Roman"/>
          <w:sz w:val="28"/>
          <w:szCs w:val="28"/>
        </w:rPr>
        <w:t xml:space="preserve">四、资源配置内容</w:t>
      </w:r>
      <w:r>
        <w:rPr>
          <w:rFonts w:hint="eastAsia" w:ascii="仿宋" w:hAnsi="仿宋" w:eastAsia="仿宋" w:cs="Times New Roman"/>
          <w:sz w:val="28"/>
          <w:szCs w:val="28"/>
          <w:lang w:eastAsia="zh-CN"/>
        </w:rPr>
        <w:t xml:space="preserve">”、“</w:t>
      </w:r>
      <w:r>
        <w:rPr>
          <w:rFonts w:ascii="仿宋" w:hAnsi="仿宋" w:eastAsia="仿宋"/>
          <w:sz w:val="28"/>
          <w:szCs w:val="28"/>
        </w:rPr>
        <w:t xml:space="preserve">五、有关要求</w:t>
      </w:r>
      <w:r>
        <w:rPr>
          <w:rFonts w:hint="eastAsia" w:ascii="仿宋" w:hAnsi="仿宋" w:eastAsia="仿宋"/>
          <w:sz w:val="28"/>
          <w:szCs w:val="28"/>
          <w:lang w:eastAsia="zh-CN"/>
        </w:rPr>
        <w:t xml:space="preserve">”的要求提供承诺函的；</w:t>
      </w:r>
      <w:r>
        <w:rPr>
          <w:rFonts w:hint="eastAsia" w:ascii="仿宋" w:hAnsi="仿宋" w:eastAsia="仿宋"/>
          <w:sz w:val="28"/>
          <w:szCs w:val="28"/>
          <w:lang w:val="en-US" w:eastAsia="zh-CN"/>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82"/>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82"/>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82"/>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82"/>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82"/>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82"/>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82"/>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82"/>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82"/>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706"/>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（各采购包均适用）</w:t>
      </w:r>
      <w:r>
        <w:rPr>
          <w:rFonts w:hint="eastAsia" w:ascii="仿宋" w:hAnsi="仿宋" w:eastAsia="仿宋"/>
          <w:sz w:val="28"/>
          <w:szCs w:val="28"/>
          <w:highlight w:val="none"/>
          <w:lang w:eastAsia="zh-CN"/>
        </w:rPr>
      </w:r>
      <w:r/>
    </w:p>
    <w:p>
      <w:pPr>
        <w:pStyle w:val="706"/>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w:t>
      </w:r>
      <w:r>
        <w:rPr>
          <w:rFonts w:hint="eastAsia" w:ascii="仿宋" w:hAnsi="仿宋" w:eastAsia="仿宋" w:cs="Times New Roman"/>
          <w:sz w:val="28"/>
          <w:szCs w:val="28"/>
          <w:u w:val="single"/>
          <w:lang w:val="en-US" w:eastAsia="zh-CN" w:bidi="ar-SA"/>
        </w:rPr>
        <w:t xml:space="preserve">第一包、第二包、第三包各为100万元。</w:t>
      </w:r>
      <w:r>
        <w:rPr>
          <w:rFonts w:hint="eastAsia" w:ascii="仿宋" w:hAnsi="仿宋" w:eastAsia="仿宋" w:cs="Times New Roman"/>
          <w:sz w:val="28"/>
          <w:szCs w:val="28"/>
          <w:lang w:val="en-US" w:eastAsia="zh-CN" w:bidi="ar-SA"/>
        </w:rPr>
        <w:t xml:space="preserve">作为本合同的履约保证金。</w:t>
      </w:r>
      <w:r>
        <w:rPr>
          <w:rFonts w:hint="eastAsia" w:ascii="仿宋" w:hAnsi="仿宋" w:eastAsia="仿宋" w:cs="Times New Roman"/>
          <w:sz w:val="28"/>
          <w:szCs w:val="28"/>
          <w:lang w:val="en-US" w:eastAsia="zh-CN" w:bidi="ar-SA"/>
        </w:rPr>
      </w:r>
      <w:r/>
    </w:p>
    <w:p>
      <w:pPr>
        <w:pStyle w:val="68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68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682"/>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68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68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682"/>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682"/>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w:t>
      </w:r>
      <w:r>
        <w:rPr>
          <w:rFonts w:hint="eastAsia" w:ascii="仿宋" w:hAnsi="仿宋" w:eastAsia="仿宋"/>
          <w:sz w:val="28"/>
          <w:szCs w:val="28"/>
        </w:rPr>
        <w:t xml:space="preserve">境标志产品品目清单”的，实行优先采购。</w:t>
      </w:r>
      <w:r>
        <w:rPr>
          <w:rFonts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82"/>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82"/>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22"/>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22"/>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22"/>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82"/>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lang w:eastAsia="zh-CN"/>
        </w:rPr>
        <w:t xml:space="preserve">（各采购包均适用）</w:t>
      </w:r>
      <w:r>
        <w:rPr>
          <w:rFonts w:hint="eastAsia" w:ascii="仿宋" w:hAnsi="仿宋" w:eastAsia="仿宋"/>
          <w:b/>
          <w:sz w:val="36"/>
          <w:szCs w:val="36"/>
          <w:lang w:eastAsia="zh-CN"/>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eastAsia="zh-CN"/>
        </w:rPr>
        <w:t xml:space="preserve">三个包均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highlight w:val="yellow"/>
        </w:rPr>
        <w:outlineLvl w:val="9"/>
      </w:pPr>
      <w:r>
        <w:rPr>
          <w:rFonts w:hint="eastAsia" w:ascii="仿宋" w:hAnsi="仿宋" w:eastAsia="仿宋"/>
          <w:sz w:val="28"/>
          <w:szCs w:val="28"/>
        </w:rPr>
        <w:t xml:space="preserve">三、</w:t>
      </w:r>
      <w:r>
        <w:rPr>
          <w:rFonts w:hint="eastAsia" w:ascii="仿宋" w:hAnsi="仿宋" w:eastAsia="仿宋"/>
          <w:sz w:val="28"/>
          <w:szCs w:val="28"/>
          <w:highlight w:val="none"/>
        </w:rPr>
        <w:t xml:space="preserve">评委会将依据下列评标标准进行评标，三个包评标标准的总分均为100分。各包按综合评审后得分由高到低顺序排列，每个包分别选取排名第一的投标人作为中标候选人，一个投标人最多只能中一个包。选取中标候选人按照</w:t>
      </w:r>
      <w:r>
        <w:rPr>
          <w:rFonts w:hint="eastAsia" w:ascii="仿宋" w:hAnsi="仿宋" w:eastAsia="仿宋"/>
          <w:sz w:val="28"/>
          <w:szCs w:val="28"/>
          <w:highlight w:val="none"/>
          <w:lang w:eastAsia="zh-CN"/>
        </w:rPr>
        <w:t xml:space="preserve">采购包</w:t>
      </w:r>
      <w:r>
        <w:rPr>
          <w:rFonts w:hint="eastAsia" w:ascii="仿宋" w:hAnsi="仿宋" w:eastAsia="仿宋"/>
          <w:sz w:val="28"/>
          <w:szCs w:val="28"/>
          <w:highlight w:val="none"/>
        </w:rPr>
        <w:t xml:space="preserve">顺序原则进行：如首先按照第一包综合评审得分排名第一的投标人确定为第一包中标候选人，确定后如该投标人同时投了第二、三包，则该投标人不再参与后续包的评审，后续包按剩余投标人得分重新排序确定中标候选人</w:t>
      </w:r>
      <w:r>
        <w:rPr>
          <w:rFonts w:hint="eastAsia" w:ascii="仿宋" w:hAnsi="仿宋" w:eastAsia="仿宋"/>
          <w:sz w:val="28"/>
          <w:szCs w:val="28"/>
          <w:highlight w:val="none"/>
          <w:lang w:eastAsia="zh-CN"/>
        </w:rPr>
        <w:t xml:space="preserve">，以此类推</w:t>
      </w:r>
      <w:r>
        <w:rPr>
          <w:rFonts w:hint="eastAsia" w:ascii="仿宋" w:hAnsi="仿宋" w:eastAsia="仿宋"/>
          <w:sz w:val="28"/>
          <w:szCs w:val="28"/>
          <w:highlight w:val="none"/>
        </w:rPr>
        <w:t xml:space="preserve">。若某包剩余投标人不足三家，则该包作废标处理。</w:t>
      </w:r>
      <w:r>
        <w:rPr>
          <w:rFonts w:hint="eastAsia" w:ascii="仿宋" w:hAnsi="仿宋" w:eastAsia="仿宋"/>
          <w:sz w:val="28"/>
          <w:szCs w:val="28"/>
          <w:highlight w:val="yellow"/>
        </w:rPr>
      </w:r>
      <w:r/>
    </w:p>
    <w:p>
      <w:pPr>
        <w:pStyle w:val="682"/>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注：如是投标人授权其地市级及以上分公司（支公司）等机构代表投标人参加投标的，本章第三条“具体标准”中所表述的“投标人”指被授权的地市级及以上分公司（支公司）等机构。</w:t>
      </w:r>
      <w:r>
        <w:rPr>
          <w:rFonts w:hint="eastAsia" w:ascii="仿宋" w:hAnsi="仿宋" w:eastAsia="仿宋"/>
          <w:b/>
          <w:bCs/>
          <w:sz w:val="28"/>
          <w:szCs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82"/>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718"/>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8"/>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32</w:t>
      </w:r>
      <w:r>
        <w:rPr>
          <w:rFonts w:hint="eastAsia" w:ascii="仿宋" w:hAnsi="仿宋" w:eastAsia="仿宋"/>
          <w:sz w:val="28"/>
          <w:szCs w:val="28"/>
        </w:rPr>
        <w:t xml:space="preserve">分</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方案部分至少应具备下列要求，未提供方案或经三分之二评委认定方案存在重大偏差的，该分项不得分。</w:t>
      </w:r>
      <w:r>
        <w:rPr>
          <w:rFonts w:hint="eastAsia" w:ascii="仿宋" w:hAnsi="仿宋" w:eastAsia="仿宋"/>
          <w:sz w:val="28"/>
          <w:szCs w:val="28"/>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（1）内部管理制度（4分）：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rPr>
        <w:t xml:space="preserve">投标人针对经办大病保险业务已具备完整的内部管理制度，内容包括但不限于业务经办管理、团队管理、档案管理、内控管理、运行分析及财务会计制度等，制度具有很强的可操作性、可实现性</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的得4分；制度具有较强的可操作性、可实现性</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的得3分；制度不够完备，可操作性、可实现性一般</w:t>
      </w:r>
      <w:r>
        <w:rPr>
          <w:rFonts w:hint="eastAsia" w:ascii="仿宋" w:hAnsi="仿宋" w:eastAsia="仿宋" w:cs="Times New Roman"/>
          <w:lang w:eastAsia="zh-CN"/>
        </w:rPr>
        <w:t xml:space="preserve">，基本满足项目需求</w:t>
      </w:r>
      <w:r>
        <w:rPr>
          <w:rFonts w:hint="eastAsia" w:ascii="仿宋" w:hAnsi="仿宋" w:eastAsia="仿宋" w:cs="Times New Roman"/>
        </w:rPr>
        <w:t xml:space="preserve">的得1分</w:t>
      </w:r>
      <w:r>
        <w:rPr>
          <w:rFonts w:hint="eastAsia" w:ascii="仿宋" w:hAnsi="仿宋" w:eastAsia="仿宋" w:cs="Times New Roman"/>
          <w:lang w:eastAsia="zh-CN"/>
        </w:rPr>
        <w:t xml:space="preserve">，不提供不得分。</w:t>
      </w:r>
      <w:r>
        <w:rPr>
          <w:rFonts w:hint="eastAsia" w:ascii="仿宋" w:hAnsi="仿宋" w:eastAsia="仿宋" w:cs="Times New Roman"/>
          <w:lang w:eastAsia="zh-C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注：投标人提供制度各项内部管理制度的正式文件（扫描件并加盖投标人电子签章），不提供的不得分。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（2）医疗费用的管控方案（8分）：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围绕已具备的资源与优势，提供对基本医疗保险和大病保险医疗费用的管控措施和目标的方案。方案内容须包含充分利用信息系</w:t>
      </w:r>
      <w:r>
        <w:rPr>
          <w:rFonts w:hint="eastAsia" w:ascii="仿宋" w:hAnsi="仿宋" w:eastAsia="仿宋" w:cs="Times New Roman"/>
        </w:rPr>
        <w:t xml:space="preserve">统、在费用测算和医疗标准上如何采用专业化手段对医保经办机构进行技术支持的具体内容，包括定期的医疗费用运行分析、医疗保险服务质量评估；门特、双通道药品和日间手术的临床路径审定和费用测算；外伤调查、大额医疗费用管控机制以及医疗保险结算模式和结算标准上的合理建议。特别是在控制住院率、住院次均费用、门特和双通道药品办理率和次均费用、异地就医率，实现“五合理”（合理住院、合理检查、合理治疗、合理用药、合理收费）等方面采取的管理措施、管理方式、管理优势及最终达到的目标等内容，方案架构详细，流程清晰，方法描述科学合理可行</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的得8分；方案架构基本详细，流程基本完整，方法描述基本合理可行</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的得6分；</w:t>
      </w:r>
      <w:r>
        <w:rPr>
          <w:rFonts w:hint="eastAsia" w:ascii="仿宋" w:hAnsi="仿宋" w:eastAsia="仿宋" w:cs="Times New Roman"/>
          <w:lang w:eastAsia="zh-CN"/>
        </w:rPr>
        <w:t xml:space="preserve">基本满足项目需求</w:t>
      </w:r>
      <w:r>
        <w:rPr>
          <w:rFonts w:hint="eastAsia" w:ascii="仿宋" w:hAnsi="仿宋" w:eastAsia="仿宋" w:cs="Times New Roman"/>
        </w:rPr>
        <w:t xml:space="preserve">的得2分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（3）稽核协查方案（5分）：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针对参保人在定点医疗机构和定点零售药店就医购药（本地和异地）行为及医疗费用的真实性和合理性等开展稽核协查的方案，对可疑案件、大额案件逐一进行核查的具体方案，方案中至少包含稽核措施、稽核方式、手段等内容。稽查方案设计合理，条理清晰，实用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的得5分；稽查方案设计基本合理，条理基本清晰，有一定的可实现性</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的得3分；稽查方案设计一般，条理一般，实用性一般</w:t>
      </w:r>
      <w:r>
        <w:rPr>
          <w:rFonts w:hint="eastAsia" w:ascii="仿宋" w:hAnsi="仿宋" w:eastAsia="仿宋" w:cs="Times New Roman"/>
          <w:lang w:eastAsia="zh-CN"/>
        </w:rPr>
        <w:t xml:space="preserve">，基本满足项目需求</w:t>
      </w:r>
      <w:r>
        <w:rPr>
          <w:rFonts w:hint="eastAsia" w:ascii="仿宋" w:hAnsi="仿宋" w:eastAsia="仿宋" w:cs="Times New Roman"/>
        </w:rPr>
        <w:t xml:space="preserve">的得2分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（4）外伤和异地就医费用核查方案（4分）：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围绕已具备的资源与优势，全面阐述协助医疗保险经办机构针对意外伤害等外伤医疗费用的真实性和合理性进行实地核查以及针对异地就医医疗费用的真实性和合理性等开展调查的方案，至少包含核查措施、核查方式、管理优势等内容，方案细节详细、规划合理，具体可行，可操作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的得4分；方案细节基本详细、规划基本合理可行，可操作一般</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的得2分；方案不够完整详细，可操作性比较低的得1分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（5）基金风险防控方案及对突发事件的应急预案（3分）：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投标人结合当前的形势，对基金的安全性、可持续性管控方案及应急预案，方案细节详细、清晰、具体可行，可操作性强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的得3分；方案比较详细、规划比较合理可行，可操作性比较可行</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的得2分；方案不够完整详细，可操作性比较低的得1分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（6）人员绩效考核方案（3分）：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配备的合署办公人员的绩效考核方案，包含人员薪酬分配方案和绩效考核方案，对经办人员加强日常管理及考核，实现日常考勤、月度考核、季度考核与年度考核相结合，并做到考核结果与薪酬分配相挂钩，降低人员更迭率，保持人员稳定性，提高业务素质和服务水平，方案细节详细、清晰、具体可行，可操作性强</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的得3分；方案比较详细、规划比较合理可行，可操作性比较可行</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的得2分；方案不够完整详细，可操作性比较低的得1分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（7）成本预算计划报告和成本控制方案（5分）：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项目管理成本预算计划报告主要包括人员、车辆、办公设备等，能够切实承担起运行监管、费用审核、异地就医核查、外伤调查、资金结算、查处和办理咨询投诉案件等职责，保证及时赔付，支持医保等有关部门的协调、管理等内容，方案能合理控制成本，具有很强的可操作性、可实现性</w:t>
      </w:r>
      <w:r>
        <w:rPr>
          <w:rFonts w:hint="eastAsia" w:ascii="仿宋" w:hAnsi="仿宋" w:eastAsia="仿宋" w:cs="Times New Roman"/>
          <w:lang w:eastAsia="zh-CN"/>
        </w:rPr>
        <w:t xml:space="preserve">，优于项目需求</w:t>
      </w:r>
      <w:r>
        <w:rPr>
          <w:rFonts w:hint="eastAsia" w:ascii="仿宋" w:hAnsi="仿宋" w:eastAsia="仿宋" w:cs="Times New Roman"/>
        </w:rPr>
        <w:t xml:space="preserve">的得5分；方案基本可以控制成本，具有较强的可操作性</w:t>
      </w:r>
      <w:r>
        <w:rPr>
          <w:rFonts w:hint="eastAsia" w:ascii="仿宋" w:hAnsi="仿宋" w:eastAsia="仿宋" w:cs="Times New Roman"/>
          <w:lang w:eastAsia="zh-CN"/>
        </w:rPr>
        <w:t xml:space="preserve">，完全满足项目需求</w:t>
      </w:r>
      <w:r>
        <w:rPr>
          <w:rFonts w:hint="eastAsia" w:ascii="仿宋" w:hAnsi="仿宋" w:eastAsia="仿宋" w:cs="Times New Roman"/>
        </w:rPr>
        <w:t xml:space="preserve">的得3分；方案逻辑不清晰、可操作性较低的得1分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注：本项目的方案部分采用暗标方式进行评审，</w:t>
      </w:r>
      <w:r>
        <w:rPr>
          <w:rFonts w:hint="eastAsia" w:ascii="仿宋" w:hAnsi="仿宋" w:eastAsia="仿宋" w:cs="Times New Roman"/>
          <w:lang w:eastAsia="zh-CN"/>
        </w:rPr>
        <w:t xml:space="preserve">如方案中需要体现公司名称、人员信息请用“</w:t>
      </w:r>
      <w:r>
        <w:rPr>
          <w:rFonts w:hint="eastAsia" w:ascii="仿宋" w:hAnsi="仿宋" w:eastAsia="仿宋" w:cs="Times New Roman"/>
          <w:lang w:val="en-US" w:eastAsia="zh-CN"/>
        </w:rPr>
        <w:t xml:space="preserve">xxx”表示，</w:t>
      </w:r>
      <w:r>
        <w:rPr>
          <w:rFonts w:hint="eastAsia" w:ascii="仿宋" w:hAnsi="仿宋" w:eastAsia="仿宋" w:cs="Times New Roman"/>
          <w:lang w:eastAsia="zh-CN"/>
        </w:rPr>
        <w:t xml:space="preserve">投标人</w:t>
      </w:r>
      <w:r>
        <w:rPr>
          <w:rFonts w:hint="eastAsia" w:ascii="仿宋" w:hAnsi="仿宋" w:eastAsia="仿宋" w:cs="Times New Roman"/>
        </w:rPr>
        <w:t xml:space="preserve">需按照第二章“投标人须知”第1</w:t>
      </w:r>
      <w:r>
        <w:rPr>
          <w:rFonts w:hint="eastAsia" w:ascii="仿宋" w:hAnsi="仿宋" w:eastAsia="仿宋" w:cs="Times New Roman"/>
          <w:lang w:val="en-US" w:eastAsia="zh-CN"/>
        </w:rPr>
        <w:t xml:space="preserve">7</w:t>
      </w:r>
      <w:r>
        <w:rPr>
          <w:rFonts w:hint="eastAsia" w:ascii="仿宋" w:hAnsi="仿宋" w:eastAsia="仿宋" w:cs="Times New Roman"/>
        </w:rPr>
        <w:t xml:space="preserve">条的要求编制方案，未按要求编制的本项不得分。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3、商务部分:38分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1）</w:t>
      </w:r>
      <w:r>
        <w:rPr>
          <w:rFonts w:hint="eastAsia" w:ascii="仿宋" w:hAnsi="仿宋" w:eastAsia="仿宋" w:cs="Times New Roman"/>
        </w:rPr>
        <w:t xml:space="preserve">综合偿付能力充足率：投标人所属总公司的2025年第三季度末综合偿付能力充足率≥200%的得5分；综合偿付能力充足率为160%（含）-200%（不含）的得3分；综合偿付能力低于160%的得1分；本项最高得5分，否则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注：提供中国保险行业协会发布的2025年第三季度保险总公司偿付能力情况摘要扫描件并加盖投标人电子签章，不提供不得分。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2）</w:t>
      </w:r>
      <w:r>
        <w:rPr>
          <w:rFonts w:hint="eastAsia" w:ascii="仿宋" w:hAnsi="仿宋" w:eastAsia="仿宋" w:cs="Times New Roman"/>
        </w:rPr>
        <w:t xml:space="preserve">管理部门和组织架构：投标人针对城乡居民和职工大病保险业务已设立专门的管理部门，且具有相对完善配套的组织架构体系的得2分，没有不得分，本项最高得2分,不提供不得分。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注：提供成立专门管理部门和配套组织架构体系的正式文件（扫描件并加盖投标人电子签章），不提供不得分。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3）</w:t>
      </w:r>
      <w:r>
        <w:rPr>
          <w:rFonts w:hint="eastAsia" w:ascii="仿宋" w:hAnsi="仿宋" w:eastAsia="仿宋" w:cs="Times New Roman"/>
        </w:rPr>
        <w:t xml:space="preserve">区域服务能力：（4分）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投标人所属总公司承诺在中标后在淮安市各县区设有经保险监督管理机构批准设立</w:t>
      </w:r>
      <w:r>
        <w:rPr>
          <w:rFonts w:hint="eastAsia" w:ascii="仿宋" w:hAnsi="仿宋" w:eastAsia="仿宋" w:cs="Times New Roman"/>
          <w:lang w:eastAsia="zh-CN"/>
        </w:rPr>
        <w:t xml:space="preserve">服务点</w:t>
      </w:r>
      <w:r>
        <w:rPr>
          <w:rFonts w:hint="eastAsia" w:ascii="仿宋" w:hAnsi="仿宋" w:eastAsia="仿宋" w:cs="Times New Roman"/>
        </w:rPr>
        <w:t xml:space="preserve">的，每设一个县区（包括开发区、清江浦区、淮阴区、淮安区、洪泽区、涟水县、盱眙县、金湖县）每个得0.5分，最高得4分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注：上述投标文件中</w:t>
      </w:r>
      <w:r>
        <w:rPr>
          <w:rFonts w:hint="eastAsia" w:ascii="仿宋" w:hAnsi="仿宋" w:eastAsia="仿宋" w:cs="Times New Roman"/>
          <w:lang w:eastAsia="zh-CN"/>
        </w:rPr>
        <w:t xml:space="preserve">如已设立服务点的</w:t>
      </w:r>
      <w:r>
        <w:rPr>
          <w:rFonts w:hint="eastAsia" w:ascii="仿宋" w:hAnsi="仿宋" w:eastAsia="仿宋" w:cs="Times New Roman"/>
        </w:rPr>
        <w:t xml:space="preserve">需提供服务网点情况明细表及有效期内的营业执照和经营保险业务许可证复印件并加盖投标人公章，承诺</w:t>
      </w:r>
      <w:r>
        <w:rPr>
          <w:rFonts w:hint="eastAsia" w:ascii="仿宋" w:hAnsi="仿宋" w:eastAsia="仿宋" w:cs="Times New Roman"/>
          <w:lang w:eastAsia="zh-CN"/>
        </w:rPr>
        <w:t xml:space="preserve">中标后设立</w:t>
      </w:r>
      <w:r>
        <w:rPr>
          <w:rFonts w:hint="eastAsia" w:ascii="仿宋" w:hAnsi="仿宋" w:eastAsia="仿宋" w:cs="Times New Roman"/>
        </w:rPr>
        <w:t xml:space="preserve">的提供承诺书并加盖公章，不提供不得分。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经验和业务优势：所属的地市级及以上分公司（支公司）自2022年1月1日（以项目合同签订时间为准）及以来在全国范围内承保大病保险项目（包括职工大病保险、居民大病保险），每有一个项目（合同）最高得1分，其中主承保得1分，主承保以外的共保体得0.5分。本项最高得12分</w:t>
      </w:r>
      <w:r>
        <w:rPr>
          <w:rFonts w:hint="eastAsia" w:ascii="仿宋" w:hAnsi="仿宋" w:eastAsia="仿宋" w:cs="Times New Roman"/>
          <w:lang w:eastAsia="zh-CN"/>
        </w:rPr>
        <w:t xml:space="preserve">，不提供不得分</w:t>
      </w:r>
      <w:r>
        <w:rPr>
          <w:rFonts w:hint="eastAsia" w:ascii="仿宋" w:hAnsi="仿宋" w:eastAsia="仿宋" w:cs="Times New Roman"/>
        </w:rPr>
        <w:t xml:space="preserve">。</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注：1）一个地级市内不论与市级单位签订的合同还是与县区级单位签订的合同都可以。</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需提供与医保主管行政部门或医疗保险经办机构签署的合作协议或合同（扫描件加盖投标人电子签章）、保险单（扫描件加盖投标人电子签章）。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5）</w:t>
      </w:r>
      <w:r>
        <w:rPr>
          <w:rFonts w:hint="eastAsia" w:ascii="仿宋" w:hAnsi="仿宋" w:eastAsia="仿宋" w:cs="Times New Roman"/>
        </w:rPr>
        <w:t xml:space="preserve">投标人针对本项目拟派的项目负责人具有医学背景且具有社会医疗保险相关工作经验，具体如下：本项最高得2分。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工作经验在5年（含5年）及以上的得2分；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工作经验在3年（含3年）及以上不满5年的得1分；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工作经验在1年（含1年）及以上不满3年的得0.5分；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其余不得分。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注：（1）医学背景指：具有医疗临床经验或从事医疗管理等相关工作经验。</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提供毕业证书、在职证明（投标人出具能够反映有社会医疗保险相关工作经验的在职证明）、个人工作简历以及投标人为其缴纳的自2023年6月以来任意一个月的社保证明（扫描件并加盖投标人电子签章），未提供或提供不全的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6）</w:t>
      </w:r>
      <w:r>
        <w:rPr>
          <w:rFonts w:hint="eastAsia" w:ascii="仿宋" w:hAnsi="仿宋" w:eastAsia="仿宋" w:cs="Times New Roman"/>
        </w:rPr>
        <w:t xml:space="preserve">投标人针对大病保险业务设立的专门管理部门中具有2年（含2年）及以上社会医疗保险相关工作经验的专职管理人员，具体如下，本项最高得2分。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人数达5人（含）及以上的得2分；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人数在3人（含）至4人（含）的得1分；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人数少于3人的，不得分。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提供专职管理人员的在职证明（投标人出具能够反映有社会医疗保险相关工作经验的在职证明）、个人工作简历以及投标人为其缴纳的自2023年6月以来任意一个月的社保证明（扫描件并加盖投标人电子签章），未提供或提供不全的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7)</w:t>
      </w:r>
      <w:r>
        <w:rPr>
          <w:rFonts w:hint="eastAsia" w:ascii="仿宋" w:hAnsi="仿宋" w:eastAsia="仿宋" w:cs="Times New Roman"/>
          <w:lang w:eastAsia="zh-CN"/>
        </w:rPr>
        <w:t xml:space="preserve">增值服务：（各投标人按所投采购包承诺）</w:t>
      </w:r>
      <w:r>
        <w:rPr>
          <w:rFonts w:hint="eastAsia" w:ascii="仿宋" w:hAnsi="仿宋" w:eastAsia="仿宋" w:cs="Times New Roman"/>
          <w:lang w:eastAsia="zh-CN"/>
        </w:rPr>
      </w:r>
      <w:r/>
    </w:p>
    <w:p>
      <w:pPr>
        <w:pStyle w:val="718"/>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lang w:eastAsia="zh-CN"/>
        </w:rPr>
        <w:t xml:space="preserve">投标人按照招标文件第五章第四项资源配置内容中“1、人力资源配置”中的要求在不低于每3万参保人员配备1名具备医学类、财务、计算机等专业的工作人员的基础上，承诺每增加1人的得0.5分，本项最高得1.5分，不承诺不得分。</w:t>
      </w:r>
      <w:r>
        <w:rPr>
          <w:rFonts w:hint="eastAsia" w:ascii="仿宋" w:hAnsi="仿宋" w:eastAsia="仿宋" w:cs="Times New Roman"/>
          <w:lang w:eastAsia="zh-CN"/>
        </w:rPr>
      </w:r>
      <w:r/>
    </w:p>
    <w:p>
      <w:pPr>
        <w:pStyle w:val="718"/>
        <w:ind w:firstLine="560"/>
        <w:keepLines w:val="0"/>
        <w:keepNext w:val="0"/>
        <w:pageBreakBefore w:val="0"/>
        <w:spacing w:line="520" w:lineRule="exact"/>
        <w:rPr>
          <w:rFonts w:hint="eastAsia" w:ascii="仿宋" w:hAnsi="仿宋" w:eastAsia="仿宋" w:cs="Times New Roman"/>
          <w:lang w:eastAsia="zh-CN"/>
        </w:rPr>
        <w:outlineLvl w:val="9"/>
      </w:pPr>
      <w:r>
        <w:rPr>
          <w:rFonts w:hint="eastAsia" w:ascii="仿宋" w:hAnsi="仿宋" w:eastAsia="仿宋" w:cs="Times New Roman"/>
          <w:lang w:eastAsia="zh-CN"/>
        </w:rPr>
        <w:t xml:space="preserve">注：投标人承诺增加的工作人员，其人员成本由投标人自行承担。</w:t>
      </w:r>
      <w:r>
        <w:rPr>
          <w:rFonts w:hint="eastAsia" w:ascii="仿宋" w:hAnsi="仿宋" w:eastAsia="仿宋" w:cs="Times New Roman"/>
          <w:lang w:eastAsia="zh-C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val="en-US" w:eastAsia="zh-CN"/>
        </w:rPr>
        <w:t xml:space="preserve">（8）</w:t>
      </w:r>
      <w:r>
        <w:rPr>
          <w:rFonts w:hint="eastAsia" w:ascii="仿宋" w:hAnsi="仿宋" w:eastAsia="仿宋" w:cs="Times New Roman"/>
          <w:lang w:eastAsia="zh-CN"/>
        </w:rPr>
        <w:t xml:space="preserve">投标人已具备较完善的精算、赔付、监管、智能审核系统的得2.5分，没有不得分</w:t>
      </w:r>
      <w:r>
        <w:rPr>
          <w:rFonts w:hint="eastAsia" w:ascii="仿宋" w:hAnsi="仿宋" w:eastAsia="仿宋" w:cs="Times New Roman"/>
        </w:rPr>
        <w:t xml:space="preserve">。（提供相关证明材料扫描件并加盖投标人电子签章）</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val="en-US" w:eastAsia="zh-CN"/>
        </w:rPr>
        <w:t xml:space="preserve">（9）</w:t>
      </w:r>
      <w:r>
        <w:rPr>
          <w:rFonts w:hint="eastAsia" w:ascii="仿宋" w:hAnsi="仿宋" w:eastAsia="仿宋" w:cs="Times New Roman"/>
        </w:rPr>
        <w:t xml:space="preserve">投标人信息系统与淮安市基本医疗保险信息系统实现对接进行数据传输，已对接的得3分；未对接但承诺自中标之日起1个月内对接的得3分；未对接且不承诺的不得分，本项最高得3分。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注：已实现对接的，提供对接协议或合同；未对接但承诺自中标之日起1个月内对接的，提供书面承诺函；不提供不得分。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10）</w:t>
      </w:r>
      <w:r>
        <w:rPr>
          <w:rFonts w:hint="eastAsia" w:ascii="仿宋" w:hAnsi="仿宋" w:eastAsia="仿宋" w:cs="Times New Roman"/>
        </w:rPr>
        <w:t xml:space="preserve">合作案例：投标人（含其总公司及其分支机构）在2022年1月1日（以合同签订日期为准）及以来有作为第三方参与医保基金稽核检查（或飞行检查）成功合作案例的，按每例得1分，本项最高得4分，不提供不得分。</w:t>
      </w:r>
      <w:r>
        <w:rPr>
          <w:rFonts w:hint="eastAsia" w:ascii="仿宋" w:hAnsi="仿宋" w:eastAsia="仿宋" w:cs="Times New Roman"/>
        </w:rPr>
      </w:r>
      <w:r/>
    </w:p>
    <w:p>
      <w:pPr>
        <w:pStyle w:val="718"/>
        <w:ind w:firstLine="560"/>
        <w:keepLines w:val="0"/>
        <w:keepNext w:val="0"/>
        <w:pageBreakBefore w:val="0"/>
        <w:spacing w:line="520" w:lineRule="exact"/>
        <w:rPr>
          <w:rFonts w:hint="eastAsia" w:ascii="仿宋" w:hAnsi="仿宋" w:eastAsia="仿宋" w:cs="Times New Roman"/>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cs="Times New Roman"/>
        </w:rPr>
        <w:t xml:space="preserve">注：需提供加盖公章的合作协议复印件或医保部门出具加盖公章的证明材料，不提供不得分。</w:t>
      </w:r>
      <w:r>
        <w:rPr>
          <w:rFonts w:hint="eastAsia" w:ascii="仿宋" w:hAnsi="仿宋" w:eastAsia="仿宋" w:cs="Times New Roman"/>
        </w:rPr>
      </w:r>
      <w:r/>
    </w:p>
    <w:p>
      <w:pPr>
        <w:pStyle w:val="718"/>
        <w:jc w:val="center"/>
        <w:keepLines w:val="0"/>
        <w:keepNext w:val="0"/>
        <w:pageBreakBefore w:val="0"/>
        <w:spacing w:line="520" w:lineRule="exact"/>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82"/>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0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82"/>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70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706"/>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70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7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0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706"/>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706"/>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7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706"/>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7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7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7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706"/>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（各采购包均适用）</w:t>
      </w:r>
      <w:r>
        <w:rPr>
          <w:rFonts w:hint="eastAsia" w:ascii="仿宋" w:hAnsi="仿宋" w:eastAsia="仿宋"/>
          <w:sz w:val="28"/>
          <w:szCs w:val="28"/>
          <w:lang w:eastAsia="zh-CN"/>
        </w:rPr>
      </w:r>
      <w:r/>
    </w:p>
    <w:p>
      <w:pPr>
        <w:pStyle w:val="7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1、乙方交纳人民币第一包、第二包、第三包各为100万元。作为本合同的履约保证金。</w:t>
      </w:r>
      <w:r>
        <w:rPr>
          <w:rFonts w:hint="eastAsia" w:ascii="仿宋" w:hAnsi="仿宋" w:eastAsia="仿宋"/>
          <w:sz w:val="28"/>
          <w:szCs w:val="28"/>
        </w:rPr>
      </w:r>
      <w:r/>
    </w:p>
    <w:p>
      <w:pPr>
        <w:pStyle w:val="682"/>
        <w:numPr>
          <w:ilvl w:val="0"/>
          <w:numId w:val="7"/>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82"/>
        <w:numPr>
          <w:ilvl w:val="0"/>
          <w:numId w:val="7"/>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82"/>
        <w:numPr>
          <w:ilvl w:val="0"/>
          <w:numId w:val="7"/>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82"/>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82"/>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82"/>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70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8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82"/>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82"/>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82"/>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82"/>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82"/>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82"/>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82"/>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82"/>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82"/>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82"/>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82"/>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8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5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5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5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5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7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7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7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7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82"/>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7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7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82"/>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706"/>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82"/>
        <w:ind w:firstLine="84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根据《江苏省医疗保障条例》、</w:t>
      </w:r>
      <w:r>
        <w:rPr>
          <w:rFonts w:ascii="仿宋" w:hAnsi="仿宋" w:eastAsia="仿宋" w:cs="Times New Roman"/>
          <w:sz w:val="28"/>
          <w:szCs w:val="28"/>
        </w:rPr>
        <w:t xml:space="preserve">《关于建立和完善统一的城乡居民大病保险制度的指导意见》（苏医保发〔2019〕103号）、《关于印发基本医疗保险和生育保险市级统筹实施办法的通知》（淮医保发〔2019〕96号）、《关</w:t>
      </w:r>
      <w:r>
        <w:rPr>
          <w:rFonts w:hint="eastAsia" w:ascii="仿宋" w:hAnsi="仿宋" w:eastAsia="仿宋" w:cs="Times New Roman"/>
          <w:sz w:val="28"/>
          <w:szCs w:val="28"/>
        </w:rPr>
        <w:t xml:space="preserve">于印发淮安市大病保险办法的通知》（淮医保发〔2019〕53号）、《关于调整医疗保险有关政策的通知》（淮人社发〔2014〕179）</w:t>
      </w:r>
      <w:r>
        <w:rPr>
          <w:rFonts w:hint="eastAsia" w:ascii="仿宋" w:hAnsi="仿宋" w:eastAsia="仿宋" w:cs="Times New Roman"/>
          <w:sz w:val="28"/>
          <w:szCs w:val="28"/>
          <w:lang w:eastAsia="zh-CN"/>
        </w:rPr>
        <w:t xml:space="preserve">等</w:t>
      </w:r>
      <w:r>
        <w:rPr>
          <w:rFonts w:hint="eastAsia" w:ascii="仿宋" w:hAnsi="仿宋" w:eastAsia="仿宋" w:cs="Times New Roman"/>
          <w:sz w:val="28"/>
          <w:szCs w:val="28"/>
        </w:rPr>
        <w:t xml:space="preserve">，实施</w:t>
      </w:r>
      <w:r>
        <w:rPr>
          <w:rFonts w:hint="eastAsia" w:ascii="仿宋" w:hAnsi="仿宋" w:eastAsia="仿宋" w:cs="Times New Roman"/>
          <w:sz w:val="28"/>
          <w:szCs w:val="28"/>
          <w:lang w:eastAsia="zh-CN"/>
        </w:rPr>
        <w:t xml:space="preserve">淮安</w:t>
      </w:r>
      <w:r>
        <w:rPr>
          <w:rFonts w:hint="eastAsia" w:ascii="仿宋" w:hAnsi="仿宋" w:eastAsia="仿宋" w:cs="Times New Roman"/>
          <w:sz w:val="28"/>
          <w:szCs w:val="28"/>
        </w:rPr>
        <w:t xml:space="preserve">市职工大病保险、城乡居民大病保险制度。本次项目共分为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个包，每个包确定一家商业保险公司，为淮安市城乡居民和职工大病保险提供服务，项目服务期为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年。投标人可投其中一个包，也可投多个包，同一保险集团公司参与同一</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投标的子公司仅限一家</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但只可中一个包。分别为：</w:t>
      </w:r>
      <w:r>
        <w:rPr>
          <w:rFonts w:hint="eastAsia" w:ascii="仿宋" w:hAnsi="仿宋" w:eastAsia="仿宋" w:cs="Times New Roman"/>
          <w:sz w:val="28"/>
          <w:szCs w:val="28"/>
        </w:rPr>
      </w:r>
      <w:r/>
    </w:p>
    <w:p>
      <w:pPr>
        <w:pStyle w:val="682"/>
        <w:ind w:firstLine="84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 xml:space="preserve">一</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：清江浦区、盱眙县、涟水县；</w:t>
      </w:r>
      <w:r>
        <w:rPr>
          <w:rFonts w:hint="eastAsia" w:ascii="仿宋" w:hAnsi="仿宋" w:eastAsia="仿宋" w:cs="Times New Roman"/>
          <w:sz w:val="28"/>
          <w:szCs w:val="28"/>
          <w:lang w:eastAsia="zh-CN"/>
        </w:rPr>
      </w:r>
      <w:r/>
    </w:p>
    <w:p>
      <w:pPr>
        <w:pStyle w:val="682"/>
        <w:ind w:firstLine="84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 xml:space="preserve">二</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市本级、开发区、淮安区；</w:t>
      </w:r>
      <w:r>
        <w:rPr>
          <w:rFonts w:hint="eastAsia" w:ascii="仿宋" w:hAnsi="仿宋" w:eastAsia="仿宋" w:cs="Times New Roman"/>
          <w:sz w:val="28"/>
          <w:szCs w:val="28"/>
          <w:lang w:val="en-US" w:eastAsia="zh-CN"/>
        </w:rPr>
      </w:r>
      <w:r/>
    </w:p>
    <w:p>
      <w:pPr>
        <w:pStyle w:val="682"/>
        <w:ind w:firstLine="84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三包：淮阴区、金湖县、洪泽区</w:t>
      </w:r>
      <w:r>
        <w:rPr>
          <w:rFonts w:ascii="仿宋" w:hAnsi="仿宋" w:eastAsia="仿宋" w:cs="Times New Roman"/>
          <w:sz w:val="28"/>
          <w:szCs w:val="28"/>
          <w:lang w:val="en-US" w:eastAsia="zh-CN"/>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一、项目</w:t>
      </w:r>
      <w:r>
        <w:rPr>
          <w:rFonts w:hint="eastAsia" w:ascii="仿宋" w:hAnsi="仿宋" w:eastAsia="仿宋" w:cs="Times New Roman"/>
          <w:sz w:val="28"/>
          <w:szCs w:val="28"/>
        </w:rPr>
        <w:t xml:space="preserve">概况</w:t>
      </w:r>
      <w:r>
        <w:rPr>
          <w:rFonts w:ascii="仿宋" w:hAnsi="仿宋" w:eastAsia="仿宋" w:cs="Times New Roman"/>
          <w:sz w:val="28"/>
          <w:szCs w:val="28"/>
        </w:rPr>
      </w:r>
      <w:r/>
    </w:p>
    <w:p>
      <w:pPr>
        <w:pStyle w:val="682"/>
        <w:ind w:firstLine="840"/>
        <w:spacing w:line="520" w:lineRule="exact"/>
        <w:rPr>
          <w:rFonts w:ascii="仿宋" w:hAnsi="仿宋" w:eastAsia="仿宋" w:cs="Times New Roman"/>
          <w:sz w:val="28"/>
          <w:szCs w:val="28"/>
        </w:rPr>
      </w:pPr>
      <w:r>
        <w:rPr>
          <w:rFonts w:ascii="仿宋" w:hAnsi="仿宋" w:eastAsia="仿宋" w:cs="Times New Roman"/>
          <w:sz w:val="28"/>
          <w:szCs w:val="28"/>
        </w:rPr>
        <w:t xml:space="preserve">采购人拟通过政府购买服务的方式公开招标，引入符合资质要求的第三方商业保险机构经办全市城乡居民和职工大病保险业务。商业保险机构配备专业队伍，与医疗保险经办机构开展全流程合署办公，在各地医疗保险经办机构办公场所建立大病保险与基本医疗保险一体化的管理平台，从政策咨询、保费征收、费用审核、医疗监管、理赔接待、档案整理等所有环节全程参与及管理，提供一站式服务，项目服务期为</w:t>
      </w:r>
      <w:r>
        <w:rPr>
          <w:rFonts w:hint="eastAsia" w:ascii="仿宋" w:hAnsi="仿宋" w:eastAsia="仿宋" w:cs="Times New Roman"/>
          <w:sz w:val="28"/>
          <w:szCs w:val="28"/>
          <w:lang w:eastAsia="zh-CN"/>
        </w:rPr>
        <w:t xml:space="preserve">两</w:t>
      </w:r>
      <w:r>
        <w:rPr>
          <w:rFonts w:ascii="仿宋" w:hAnsi="仿宋" w:eastAsia="仿宋" w:cs="Times New Roman"/>
          <w:sz w:val="28"/>
          <w:szCs w:val="28"/>
        </w:rPr>
        <w:t xml:space="preserve">年。</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二、基本原则</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坚持政府主导，专业运作。政府负责基本政策制定、组织协调、筹资管理，并加强监管指导。利用商业保险机构的专业优势，支持商业保险机构承办大病保险，发挥市场机制作用，提高大病保险的运行效率、服务水平和质量。大病保险实行市级统筹，全市统一覆盖范围、筹资政策、保障待遇、医保目录、定点管理、基金管理、经办管理，统一组织实施。</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坚持依法合规、实事求是。严格遵守相关法律法规，按照当地基本医疗保险和大病保险相关政策和经办服务合同的规定积极有效地开展经办服务工作；在业务经办工作过程中坚持实事求是，做到事实客观公正、结论恰当准确，切实保障参保人员的合法权益。</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坚持责任共担，持续发展。淮安市大病保险坚持全面覆盖、收支平衡、稳妥推进、规范运作，保障水平要与全市经济社会发展、医疗消费水平及承受能力相适应。强化社会互助共济意识和作用，形成政府、个人和保险机构共同分担风险的机制。</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4、坚持公平竞争，优胜劣汰。坚持公平公正公开原则，建立优胜劣汰的动态调整机制，对在城乡居民和职工大病保险经办过程中，服务质量、基金管控、履约能力等出现严重违规、违纪和失信行为的，淮安市医疗保障局有权解除合同。</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三、合作业务内容</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中标人提</w:t>
      </w:r>
      <w:r>
        <w:rPr>
          <w:rFonts w:hint="eastAsia" w:ascii="仿宋" w:hAnsi="仿宋" w:eastAsia="仿宋" w:cs="Times New Roman"/>
          <w:sz w:val="28"/>
          <w:szCs w:val="28"/>
        </w:rPr>
        <w:t xml:space="preserve">供的服务包括但不限于以下方面:资格待遇核定、医疗费审核及结算、外伤和异地医疗费用调查、异地医疗经办、三个目录维护、保险赔付、财务结算；协助、参与就医费用稽核、城乡居民和职工医疗保险运行监管等；以及按照医保部门要求提供政策宣传、咨询服务、经办服务、基层网络建设、基层服务队伍等其它事项。投标人要切实加强管理，控制风险，降低管理成本、提升服务效率、提高服务质量，提升管理服务能力和水平。投标人要提供专业、快捷、高效的服务，加强基金监管，保障基金安全，激发经办活力，确保医保基金平稳运行，实现医保基金安全和可持续发展。</w:t>
      </w:r>
      <w:r>
        <w:rPr>
          <w:rFonts w:ascii="仿宋" w:hAnsi="仿宋" w:eastAsia="仿宋" w:cs="Times New Roman"/>
          <w:sz w:val="28"/>
          <w:szCs w:val="28"/>
        </w:rPr>
      </w:r>
      <w:r/>
    </w:p>
    <w:p>
      <w:pPr>
        <w:pStyle w:val="682"/>
        <w:ind w:firstLine="560"/>
        <w:spacing w:line="520" w:lineRule="exact"/>
        <w:rPr>
          <w:rFonts w:ascii="仿宋" w:hAnsi="仿宋" w:eastAsia="仿宋" w:cs="Times New Roman"/>
          <w:b/>
          <w:bCs/>
          <w:sz w:val="28"/>
          <w:szCs w:val="28"/>
        </w:rPr>
      </w:pPr>
      <w:r>
        <w:rPr>
          <w:rFonts w:ascii="仿宋" w:hAnsi="仿宋" w:eastAsia="仿宋" w:cs="Times New Roman"/>
          <w:b/>
          <w:bCs/>
          <w:sz w:val="28"/>
          <w:szCs w:val="28"/>
        </w:rPr>
        <w:t xml:space="preserve">★1、资金筹集</w:t>
      </w:r>
      <w:r>
        <w:rPr>
          <w:rFonts w:ascii="仿宋" w:hAnsi="仿宋" w:eastAsia="仿宋" w:cs="Times New Roman"/>
          <w:b/>
          <w:bCs/>
          <w:sz w:val="28"/>
          <w:szCs w:val="28"/>
        </w:rPr>
      </w:r>
      <w:r/>
    </w:p>
    <w:p>
      <w:pPr>
        <w:pStyle w:val="682"/>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城乡居民大病保险资金从城乡居民基本医疗保险基金中划拨。职工大病保险资金从职工大病保险基金中划拨。</w:t>
      </w:r>
      <w:r>
        <w:rPr>
          <w:rFonts w:ascii="仿宋" w:hAnsi="仿宋" w:eastAsia="仿宋" w:cs="Times New Roman"/>
          <w:sz w:val="28"/>
          <w:szCs w:val="28"/>
          <w:highlight w:val="none"/>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highlight w:val="none"/>
        </w:rPr>
        <w:t xml:space="preserve">202</w:t>
      </w:r>
      <w:r>
        <w:rPr>
          <w:rFonts w:hint="eastAsia" w:ascii="仿宋" w:hAnsi="仿宋" w:eastAsia="仿宋" w:cs="Times New Roman"/>
          <w:sz w:val="28"/>
          <w:szCs w:val="28"/>
          <w:highlight w:val="none"/>
          <w:lang w:val="en-US" w:eastAsia="zh-CN"/>
        </w:rPr>
        <w:t xml:space="preserve">6</w:t>
      </w:r>
      <w:r>
        <w:rPr>
          <w:rFonts w:ascii="仿宋" w:hAnsi="仿宋" w:eastAsia="仿宋" w:cs="Times New Roman"/>
          <w:sz w:val="28"/>
          <w:szCs w:val="28"/>
          <w:highlight w:val="none"/>
        </w:rPr>
        <w:t xml:space="preserve">年度，全市城乡居民大病保险筹资标准为</w:t>
      </w:r>
      <w:r>
        <w:rPr>
          <w:rFonts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110</w:t>
      </w:r>
      <w:r>
        <w:rPr>
          <w:rFonts w:ascii="仿宋" w:hAnsi="仿宋" w:eastAsia="仿宋" w:cs="Times New Roman"/>
          <w:sz w:val="28"/>
          <w:szCs w:val="28"/>
          <w:highlight w:val="none"/>
          <w:u w:val="single"/>
        </w:rPr>
        <w:t xml:space="preserve">  </w:t>
      </w:r>
      <w:r>
        <w:rPr>
          <w:rFonts w:ascii="仿宋" w:hAnsi="仿宋" w:eastAsia="仿宋" w:cs="Times New Roman"/>
          <w:sz w:val="28"/>
          <w:szCs w:val="28"/>
          <w:highlight w:val="none"/>
        </w:rPr>
        <w:t xml:space="preserve">元/人，职工大病保险筹资标准为</w:t>
      </w:r>
      <w:r>
        <w:rPr>
          <w:rFonts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90</w:t>
      </w:r>
      <w:r>
        <w:rPr>
          <w:rFonts w:ascii="仿宋" w:hAnsi="仿宋" w:eastAsia="仿宋" w:cs="Times New Roman"/>
          <w:sz w:val="28"/>
          <w:szCs w:val="28"/>
          <w:highlight w:val="none"/>
          <w:u w:val="single"/>
        </w:rPr>
        <w:t xml:space="preserve">  </w:t>
      </w:r>
      <w:r>
        <w:rPr>
          <w:rFonts w:ascii="仿宋" w:hAnsi="仿宋" w:eastAsia="仿宋" w:cs="Times New Roman"/>
          <w:sz w:val="28"/>
          <w:szCs w:val="28"/>
          <w:highlight w:val="none"/>
        </w:rPr>
        <w:t xml:space="preserve">元/人。</w:t>
      </w:r>
      <w:r>
        <w:rPr>
          <w:rFonts w:hint="eastAsia" w:ascii="仿宋" w:hAnsi="仿宋" w:eastAsia="仿宋" w:cs="Times New Roman"/>
          <w:sz w:val="28"/>
          <w:szCs w:val="28"/>
          <w:highlight w:val="none"/>
          <w:lang w:val="en-US" w:eastAsia="zh-CN"/>
        </w:rPr>
        <w:t xml:space="preserve">2026</w:t>
      </w:r>
      <w:r>
        <w:rPr>
          <w:rFonts w:hint="eastAsia" w:ascii="仿宋" w:hAnsi="仿宋" w:eastAsia="仿宋" w:cs="Times New Roman"/>
          <w:sz w:val="28"/>
          <w:szCs w:val="28"/>
          <w:highlight w:val="none"/>
          <w:lang w:eastAsia="zh-CN"/>
        </w:rPr>
        <w:t xml:space="preserve">年度</w:t>
      </w:r>
      <w:r>
        <w:rPr>
          <w:rFonts w:ascii="仿宋" w:hAnsi="仿宋" w:eastAsia="仿宋" w:cs="Times New Roman"/>
          <w:sz w:val="28"/>
          <w:szCs w:val="28"/>
          <w:highlight w:val="none"/>
        </w:rPr>
        <w:t xml:space="preserve">大病保险筹资具体</w:t>
      </w:r>
      <w:r>
        <w:rPr>
          <w:rFonts w:ascii="仿宋" w:hAnsi="仿宋" w:eastAsia="仿宋" w:cs="Times New Roman"/>
          <w:sz w:val="28"/>
          <w:szCs w:val="28"/>
        </w:rPr>
        <w:t xml:space="preserve">标准由市医疗保障局、市财政局根据全市城乡居民和职工大病保险基金运行情况及相关政策测算确认。全市城乡居民和职工大病保险所筹基金分别使用，独立核算。</w:t>
      </w:r>
      <w:r>
        <w:rPr>
          <w:rFonts w:ascii="仿宋" w:hAnsi="仿宋" w:eastAsia="仿宋" w:cs="Times New Roman"/>
          <w:sz w:val="28"/>
          <w:szCs w:val="28"/>
        </w:rPr>
      </w:r>
      <w:r/>
    </w:p>
    <w:p>
      <w:pPr>
        <w:pStyle w:val="682"/>
        <w:ind w:firstLine="562"/>
        <w:spacing w:line="520" w:lineRule="exact"/>
        <w:rPr>
          <w:rFonts w:ascii="仿宋" w:hAnsi="仿宋" w:eastAsia="仿宋" w:cs="Times New Roman"/>
          <w:sz w:val="28"/>
          <w:szCs w:val="28"/>
        </w:rPr>
      </w:pPr>
      <w:r>
        <w:rPr>
          <w:rFonts w:ascii="仿宋" w:hAnsi="仿宋" w:eastAsia="仿宋" w:cs="Times New Roman"/>
          <w:b/>
          <w:sz w:val="28"/>
          <w:szCs w:val="28"/>
        </w:rPr>
        <w:t xml:space="preserve">注:投标人参加投标时，必须提供承诺每年度城乡居民和职工大病保险资金筹集标准均按照采购人确认标准执行的书面承诺函，</w:t>
      </w:r>
      <w:r>
        <w:rPr>
          <w:rFonts w:hint="eastAsia" w:ascii="仿宋" w:hAnsi="仿宋" w:eastAsia="仿宋" w:cs="Times New Roman"/>
          <w:b/>
          <w:sz w:val="28"/>
          <w:szCs w:val="28"/>
          <w:lang w:eastAsia="zh-CN"/>
        </w:rPr>
        <w:t xml:space="preserve">（格式由投标人自定，加盖投标人电子签章），不</w:t>
      </w:r>
      <w:r>
        <w:rPr>
          <w:rFonts w:ascii="仿宋" w:hAnsi="仿宋" w:eastAsia="仿宋" w:cs="Times New Roman"/>
          <w:b/>
          <w:sz w:val="28"/>
          <w:szCs w:val="28"/>
        </w:rPr>
        <w:t xml:space="preserve">提供作无效投标处理。</w:t>
      </w:r>
      <w:r>
        <w:rPr>
          <w:rFonts w:ascii="仿宋" w:hAnsi="仿宋" w:eastAsia="仿宋" w:cs="Times New Roman"/>
          <w:sz w:val="28"/>
          <w:szCs w:val="28"/>
        </w:rPr>
      </w:r>
      <w:r/>
    </w:p>
    <w:p>
      <w:pPr>
        <w:pStyle w:val="682"/>
        <w:ind w:firstLine="560"/>
        <w:spacing w:line="520" w:lineRule="exact"/>
        <w:rPr>
          <w:rFonts w:ascii="仿宋" w:hAnsi="仿宋" w:eastAsia="仿宋" w:cs="Times New Roman"/>
          <w:b/>
          <w:bCs/>
          <w:sz w:val="28"/>
          <w:szCs w:val="28"/>
        </w:rPr>
      </w:pPr>
      <w:r>
        <w:rPr>
          <w:rFonts w:ascii="仿宋" w:hAnsi="仿宋" w:eastAsia="仿宋" w:cs="Times New Roman"/>
          <w:b/>
          <w:bCs/>
          <w:sz w:val="28"/>
          <w:szCs w:val="28"/>
        </w:rPr>
        <w:t xml:space="preserve">★2、服务对象及参保人数</w:t>
      </w:r>
      <w:r>
        <w:rPr>
          <w:rFonts w:ascii="仿宋" w:hAnsi="仿宋" w:eastAsia="仿宋" w:cs="Times New Roman"/>
          <w:b/>
          <w:bCs/>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参加淮安市城乡居民基本医疗保险的人员、参加淮安市职工基本医疗保险并按时足额缴纳职工大病保险费的人员（以下简称“参保人”）为被服务对象。城乡居民</w:t>
      </w:r>
      <w:r>
        <w:rPr>
          <w:rFonts w:hint="eastAsia" w:ascii="仿宋" w:hAnsi="仿宋" w:eastAsia="仿宋" w:cs="Times New Roman"/>
          <w:sz w:val="28"/>
          <w:szCs w:val="28"/>
          <w:lang w:eastAsia="zh-CN"/>
        </w:rPr>
        <w:t xml:space="preserve">和职工</w:t>
      </w:r>
      <w:r>
        <w:rPr>
          <w:rFonts w:ascii="仿宋" w:hAnsi="仿宋" w:eastAsia="仿宋" w:cs="Times New Roman"/>
          <w:sz w:val="28"/>
          <w:szCs w:val="28"/>
        </w:rPr>
        <w:t xml:space="preserve">大病保险参保人数按照“</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w:t>
      </w:r>
      <w:r>
        <w:rPr>
          <w:rFonts w:hint="eastAsia" w:ascii="仿宋" w:hAnsi="仿宋" w:eastAsia="仿宋" w:cs="Times New Roman"/>
          <w:sz w:val="28"/>
          <w:szCs w:val="28"/>
        </w:rPr>
        <w:t xml:space="preserve">中淮安市</w:t>
      </w:r>
      <w:r>
        <w:rPr>
          <w:rFonts w:ascii="仿宋" w:hAnsi="仿宋" w:eastAsia="仿宋" w:cs="Times New Roman"/>
          <w:sz w:val="28"/>
          <w:szCs w:val="28"/>
        </w:rPr>
        <w:t xml:space="preserve">城乡居民基本医疗保险</w:t>
      </w:r>
      <w:r>
        <w:rPr>
          <w:rFonts w:hint="eastAsia" w:ascii="仿宋" w:hAnsi="仿宋" w:eastAsia="仿宋" w:cs="Times New Roman"/>
          <w:sz w:val="28"/>
          <w:szCs w:val="28"/>
          <w:lang w:eastAsia="zh-CN"/>
        </w:rPr>
        <w:t xml:space="preserve">和</w:t>
      </w:r>
      <w:r>
        <w:rPr>
          <w:rFonts w:hint="eastAsia" w:ascii="仿宋" w:hAnsi="仿宋" w:eastAsia="仿宋" w:cs="Times New Roman"/>
          <w:sz w:val="28"/>
          <w:szCs w:val="28"/>
        </w:rPr>
        <w:t xml:space="preserve">淮安市</w:t>
      </w:r>
      <w:r>
        <w:rPr>
          <w:rFonts w:ascii="仿宋" w:hAnsi="仿宋" w:eastAsia="仿宋" w:cs="Times New Roman"/>
          <w:sz w:val="28"/>
          <w:szCs w:val="28"/>
        </w:rPr>
        <w:t xml:space="preserve">职工大病保险</w:t>
      </w:r>
      <w:r>
        <w:rPr>
          <w:rFonts w:ascii="仿宋" w:hAnsi="仿宋" w:eastAsia="仿宋" w:cs="Times New Roman"/>
          <w:b/>
          <w:sz w:val="28"/>
          <w:szCs w:val="28"/>
        </w:rPr>
        <w:t xml:space="preserve">实际缴费人数</w:t>
      </w:r>
      <w:r>
        <w:rPr>
          <w:rFonts w:ascii="仿宋" w:hAnsi="仿宋" w:eastAsia="仿宋" w:cs="Times New Roman"/>
          <w:sz w:val="28"/>
          <w:szCs w:val="28"/>
        </w:rPr>
        <w:t xml:space="preserve">为准。</w:t>
      </w:r>
      <w:r>
        <w:rPr>
          <w:rFonts w:ascii="仿宋" w:hAnsi="仿宋" w:eastAsia="仿宋" w:cs="Times New Roman"/>
          <w:sz w:val="28"/>
          <w:szCs w:val="28"/>
        </w:rPr>
      </w:r>
      <w:r/>
    </w:p>
    <w:p>
      <w:pPr>
        <w:pStyle w:val="682"/>
        <w:ind w:firstLine="562"/>
        <w:spacing w:line="520" w:lineRule="exact"/>
        <w:rPr>
          <w:rFonts w:ascii="仿宋" w:hAnsi="仿宋" w:eastAsia="仿宋" w:cs="Times New Roman"/>
          <w:sz w:val="28"/>
          <w:szCs w:val="28"/>
        </w:rPr>
      </w:pPr>
      <w:r>
        <w:rPr>
          <w:rFonts w:ascii="仿宋" w:hAnsi="仿宋" w:eastAsia="仿宋" w:cs="Times New Roman"/>
          <w:b/>
          <w:sz w:val="28"/>
          <w:szCs w:val="28"/>
        </w:rPr>
        <w:t xml:space="preserve">注:投标人参加投标时，必须提供承诺每年度城乡居民和职工大病保险参保人数按照采购人确认人数执行的书面承诺函，</w:t>
      </w:r>
      <w:r>
        <w:rPr>
          <w:rFonts w:hint="eastAsia" w:ascii="仿宋" w:hAnsi="仿宋" w:eastAsia="仿宋" w:cs="Times New Roman"/>
          <w:b/>
          <w:sz w:val="28"/>
          <w:szCs w:val="28"/>
          <w:lang w:eastAsia="zh-CN"/>
        </w:rPr>
        <w:t xml:space="preserve">（格式由投标人自定，加盖投标人电子签章），不</w:t>
      </w:r>
      <w:r>
        <w:rPr>
          <w:rFonts w:ascii="仿宋" w:hAnsi="仿宋" w:eastAsia="仿宋" w:cs="Times New Roman"/>
          <w:b/>
          <w:sz w:val="28"/>
          <w:szCs w:val="28"/>
        </w:rPr>
        <w:t xml:space="preserve">提供作无效投标处理。</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3、保障范围和水平</w:t>
      </w:r>
      <w:r>
        <w:rPr>
          <w:rFonts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淮安市城乡居民和职工大病保险保障范围和待遇水平按《关于印发基本医疗保险和生育保险市级统筹实施办法的通知》（淮医保发﹝2019﹞96号）、《关于印发淮安市大病保险办法的通知》（淮医保发﹝2019﹞53号）、《印发&lt;关于健全重特大疾病医疗保险和救助制度的实施方案&gt;的通知》（淮医保发〔2022〕46号）、《关于调整城乡居民和职工大病保险有关政策的通知》（淮医保发〔2025〕17号）等文件规定执行。</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2025年8月1日起，我市大病保险(包括职工大病保险和城乡居民大病保险)起付标准由15000元提高至18000元。</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在合同期内，如遇本市基本医疗保险和大病保险相关政策变化，城乡居民和职工大病保险保障范围和待遇水平按照新的政策标准执行。</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4、保费拨付</w:t>
      </w:r>
      <w:r>
        <w:rPr>
          <w:rFonts w:hint="eastAsia" w:ascii="仿宋" w:hAnsi="仿宋" w:eastAsia="仿宋" w:cs="Times New Roman"/>
          <w:sz w:val="28"/>
          <w:szCs w:val="28"/>
          <w:lang w:val="en-US" w:eastAsia="zh-CN"/>
        </w:rPr>
      </w:r>
      <w:r/>
    </w:p>
    <w:p>
      <w:pPr>
        <w:pStyle w:val="682"/>
        <w:ind w:firstLine="560"/>
        <w:spacing w:line="520" w:lineRule="exact"/>
        <w:rPr>
          <w:rFonts w:hint="eastAsia" w:ascii="仿宋" w:hAnsi="仿宋" w:eastAsia="仿宋" w:cs="Times New Roman"/>
          <w:sz w:val="28"/>
          <w:szCs w:val="28"/>
          <w:lang w:val="en-US" w:eastAsia="zh-CN"/>
        </w:rPr>
      </w:pPr>
      <w:r>
        <w:rPr>
          <w:rFonts w:ascii="仿宋" w:hAnsi="仿宋" w:eastAsia="仿宋" w:cs="Times New Roman"/>
          <w:sz w:val="28"/>
          <w:szCs w:val="28"/>
        </w:rPr>
        <w:t xml:space="preserve">每年初，</w:t>
      </w:r>
      <w:r>
        <w:rPr>
          <w:rFonts w:hint="eastAsia" w:ascii="仿宋" w:hAnsi="仿宋" w:eastAsia="仿宋" w:cs="Times New Roman"/>
          <w:sz w:val="28"/>
          <w:szCs w:val="28"/>
          <w:lang w:eastAsia="zh-CN"/>
        </w:rPr>
        <w:t xml:space="preserve">按采购人</w:t>
      </w:r>
      <w:r>
        <w:rPr>
          <w:rFonts w:ascii="仿宋" w:hAnsi="仿宋" w:eastAsia="仿宋" w:cs="Times New Roman"/>
          <w:sz w:val="28"/>
          <w:szCs w:val="28"/>
        </w:rPr>
        <w:t xml:space="preserve">确定的筹资标准和年初参保人数确定当年度预付大病保险保费金额，保费按两个自然月拨付一次</w:t>
      </w:r>
      <w:r>
        <w:rPr>
          <w:rFonts w:hint="eastAsia" w:ascii="仿宋" w:hAnsi="仿宋" w:eastAsia="仿宋" w:cs="Times New Roman"/>
          <w:sz w:val="28"/>
          <w:szCs w:val="28"/>
          <w:lang w:eastAsia="zh-CN"/>
        </w:rPr>
        <w:t xml:space="preserve">。</w:t>
      </w:r>
      <w:r>
        <w:rPr>
          <w:rFonts w:ascii="仿宋" w:hAnsi="仿宋" w:eastAsia="仿宋" w:cs="Times New Roman"/>
          <w:sz w:val="28"/>
          <w:szCs w:val="28"/>
        </w:rPr>
        <w:t xml:space="preserve">年终按当年度实际筹资标准和缴费人数为准结算大病保险保费。</w:t>
      </w:r>
      <w:r>
        <w:rPr>
          <w:rFonts w:hint="eastAsia" w:ascii="仿宋" w:hAnsi="仿宋" w:eastAsia="仿宋" w:cs="Times New Roman"/>
          <w:sz w:val="28"/>
          <w:szCs w:val="28"/>
          <w:lang w:val="en-US" w:eastAsia="zh-CN"/>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5</w:t>
      </w:r>
      <w:r>
        <w:rPr>
          <w:rFonts w:ascii="仿宋" w:hAnsi="仿宋" w:eastAsia="仿宋" w:cs="Times New Roman"/>
          <w:sz w:val="28"/>
          <w:szCs w:val="28"/>
        </w:rPr>
        <w:t xml:space="preserve">、保费赔付</w:t>
      </w:r>
      <w:r>
        <w:rPr>
          <w:rFonts w:ascii="仿宋" w:hAnsi="仿宋" w:eastAsia="仿宋" w:cs="Times New Roman"/>
          <w:sz w:val="28"/>
          <w:szCs w:val="28"/>
        </w:rPr>
      </w:r>
      <w:r/>
    </w:p>
    <w:p>
      <w:pPr>
        <w:pStyle w:val="682"/>
        <w:ind w:firstLine="560"/>
        <w:spacing w:line="520" w:lineRule="exact"/>
        <w:rPr>
          <w:rFonts w:hint="eastAsia" w:ascii="Times New Roman" w:hAnsi="Times New Roman" w:eastAsia="宋体" w:cs="Times New Roman"/>
          <w:lang w:val="en-US" w:eastAsia="zh-CN"/>
        </w:rPr>
      </w:pPr>
      <w:r>
        <w:rPr>
          <w:rFonts w:ascii="仿宋" w:hAnsi="仿宋" w:eastAsia="仿宋" w:cs="Times New Roman"/>
          <w:sz w:val="28"/>
          <w:szCs w:val="28"/>
        </w:rPr>
        <w:t xml:space="preserve">投标人应按合同约定定期向市本级及各县区医疗保险经办机构赔付大病保险费用。年终，采购人与投标人按合同约定决算。</w:t>
      </w:r>
      <w:r>
        <w:rPr>
          <w:rFonts w:hint="eastAsia" w:ascii="Times New Roman" w:hAnsi="Times New Roman" w:eastAsia="宋体" w:cs="Times New Roman"/>
          <w:lang w:val="en-US" w:eastAsia="zh-CN"/>
        </w:rPr>
      </w:r>
      <w:r/>
    </w:p>
    <w:p>
      <w:pPr>
        <w:pStyle w:val="682"/>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6、风险调节</w:t>
      </w:r>
      <w:r>
        <w:rPr>
          <w:rFonts w:hint="eastAsia" w:ascii="仿宋" w:hAnsi="仿宋" w:eastAsia="仿宋" w:cs="Times New Roman"/>
          <w:sz w:val="28"/>
          <w:szCs w:val="28"/>
          <w:lang w:val="en-US" w:eastAsia="zh-CN"/>
        </w:rPr>
      </w:r>
      <w:r/>
    </w:p>
    <w:p>
      <w:pPr>
        <w:pStyle w:val="682"/>
        <w:ind w:firstLine="560"/>
        <w:jc w:val="left"/>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淮安市城乡居民和职工大病保险按照“收支平衡、保本微利”的原则建立风险调节机制，按采购包独立核算。投标人扣除直接赔付和管理成本后，盈亏率控制在合理范围以内，2026-2028年度，盈利率和亏损率（绝对值）均为1%。若</w:t>
      </w:r>
      <w:r>
        <w:rPr>
          <w:rFonts w:hint="eastAsia" w:ascii="仿宋" w:hAnsi="仿宋" w:eastAsia="仿宋" w:cs="Times New Roman"/>
          <w:sz w:val="28"/>
          <w:szCs w:val="28"/>
          <w:lang w:val="en-US" w:eastAsia="zh-CN" w:bidi="ar-SA"/>
        </w:rPr>
        <w:t xml:space="preserve">当年度城乡居民和职工大病保险盈利率大于1%，则超出部分须返还城乡居民基本医疗保险和职工大病保险基金。若当年度城乡居民和职工大病保险基金出现亏损，则按亏损率分段分担弥补。其中，当年度亏损率（绝对值）小于1%（含）以内的部分，亏损额全部由投标人承担；当年度亏损率（绝对值）在1%（不含）至5%（含）之间的部分，由商保机构承（乙方）担该亏损率区间内实际亏损额的30%，大病基金承担该亏损率区间内实际亏损额的70%；当年度亏损率（绝对值）在5%（不含）以上的部分，全部从城乡居民基本医疗保险基金和职工大病保险基金中支付。</w:t>
      </w:r>
      <w:r>
        <w:rPr>
          <w:rFonts w:hint="eastAsia" w:ascii="仿宋" w:hAnsi="仿宋" w:eastAsia="仿宋" w:cs="Times New Roman"/>
          <w:sz w:val="28"/>
          <w:szCs w:val="28"/>
          <w:lang w:val="en-US" w:eastAsia="zh-CN" w:bidi="ar-SA"/>
        </w:rPr>
      </w:r>
      <w:r/>
    </w:p>
    <w:p>
      <w:pPr>
        <w:pStyle w:val="682"/>
        <w:ind w:firstLine="560"/>
        <w:jc w:val="left"/>
        <w:spacing w:line="520" w:lineRule="exact"/>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t xml:space="preserve">盈利率或亏损率计算公式为:[（大病保险金-大病保险项目的管理成本-被保险人的赔付款）/大病保险金]×100%。</w:t>
      </w:r>
      <w:r>
        <w:rPr>
          <w:rFonts w:ascii="仿宋" w:hAnsi="仿宋" w:eastAsia="仿宋" w:cs="Times New Roman"/>
          <w:sz w:val="28"/>
          <w:szCs w:val="28"/>
          <w:lang w:val="en-US" w:eastAsia="zh-CN" w:bidi="ar-SA"/>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★四、资源配置内容</w:t>
      </w:r>
      <w:r>
        <w:rPr>
          <w:rFonts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（一）</w:t>
      </w:r>
      <w:r>
        <w:rPr>
          <w:rFonts w:ascii="仿宋" w:hAnsi="仿宋" w:eastAsia="仿宋" w:cs="Times New Roman"/>
          <w:sz w:val="28"/>
          <w:szCs w:val="28"/>
        </w:rPr>
        <w:t xml:space="preserve">人力资源配置</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仿宋"/>
          <w:sz w:val="28"/>
          <w:szCs w:val="28"/>
        </w:rPr>
        <w:t xml:space="preserve">1.项目负责人。</w:t>
      </w:r>
      <w:r>
        <w:rPr>
          <w:rFonts w:hint="eastAsia" w:ascii="仿宋" w:hAnsi="仿宋" w:eastAsia="仿宋" w:cs="Times New Roman"/>
          <w:sz w:val="28"/>
          <w:szCs w:val="28"/>
        </w:rPr>
        <w:t xml:space="preserve">投标人针对本</w:t>
      </w:r>
      <w:r>
        <w:rPr>
          <w:rFonts w:hint="eastAsia" w:ascii="仿宋" w:hAnsi="仿宋" w:eastAsia="仿宋" w:cs="Times New Roman"/>
          <w:sz w:val="28"/>
          <w:szCs w:val="28"/>
          <w:highlight w:val="none"/>
        </w:rPr>
        <w:t xml:space="preserve">项目</w:t>
      </w:r>
      <w:r>
        <w:rPr>
          <w:rFonts w:hint="eastAsia" w:ascii="仿宋" w:hAnsi="仿宋" w:eastAsia="仿宋" w:cs="Times New Roman"/>
          <w:sz w:val="28"/>
          <w:szCs w:val="28"/>
          <w:highlight w:val="none"/>
          <w:lang w:eastAsia="zh-CN"/>
        </w:rPr>
        <w:t xml:space="preserve">至少</w:t>
      </w:r>
      <w:r>
        <w:rPr>
          <w:rFonts w:hint="eastAsia" w:ascii="仿宋" w:hAnsi="仿宋" w:eastAsia="仿宋" w:cs="Times New Roman"/>
          <w:sz w:val="28"/>
          <w:szCs w:val="28"/>
          <w:highlight w:val="none"/>
        </w:rPr>
        <w:t xml:space="preserve">配备1名项目负责人</w:t>
      </w:r>
      <w:r>
        <w:rPr>
          <w:rFonts w:hint="eastAsia" w:ascii="仿宋" w:hAnsi="仿宋" w:eastAsia="仿宋" w:cs="Times New Roman"/>
          <w:sz w:val="28"/>
          <w:szCs w:val="28"/>
        </w:rPr>
        <w:t xml:space="preserve">。项目负责人</w:t>
      </w:r>
      <w:r>
        <w:rPr>
          <w:rFonts w:hint="eastAsia" w:ascii="仿宋" w:hAnsi="仿宋" w:eastAsia="仿宋" w:cs="仿宋"/>
          <w:sz w:val="28"/>
          <w:szCs w:val="28"/>
        </w:rPr>
        <w:t xml:space="preserve">不用驻场，主要负责项目统筹、制定工作计划，对驻场合署经办团队人员进行管理、培训、绩效考核等，指导团队各项工作，确定团队分工和追踪业务进展，以及定期向采购人进行业务汇报，相关事宜沟通等。</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2.专职管理人员。投标人针对大病保险业务设立专门管理部门并配备专职管理人员，人数不限。专职管理人员</w:t>
      </w:r>
      <w:r>
        <w:rPr>
          <w:rFonts w:hint="eastAsia" w:ascii="仿宋" w:hAnsi="仿宋" w:eastAsia="仿宋" w:cs="仿宋"/>
          <w:sz w:val="28"/>
          <w:szCs w:val="28"/>
        </w:rPr>
        <w:t xml:space="preserve">不用驻场，</w:t>
      </w:r>
      <w:r>
        <w:rPr>
          <w:rFonts w:hint="eastAsia" w:ascii="仿宋" w:hAnsi="仿宋" w:eastAsia="仿宋" w:cs="Times New Roman"/>
          <w:sz w:val="28"/>
          <w:szCs w:val="28"/>
        </w:rPr>
        <w:t xml:space="preserve">主要负责与各级医保经办机构对接具体经办业务，沟通相关事宜，参与经办项目管理等。</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仿宋"/>
          <w:b/>
          <w:bCs/>
          <w:sz w:val="28"/>
          <w:szCs w:val="28"/>
        </w:rPr>
      </w:pPr>
      <w:r>
        <w:rPr>
          <w:rFonts w:hint="eastAsia" w:ascii="仿宋" w:hAnsi="仿宋" w:eastAsia="仿宋" w:cs="Times New Roman"/>
          <w:b/>
          <w:bCs/>
          <w:sz w:val="28"/>
          <w:szCs w:val="28"/>
        </w:rPr>
        <w:t xml:space="preserve">3.</w:t>
      </w:r>
      <w:r>
        <w:rPr>
          <w:rFonts w:hint="eastAsia" w:ascii="仿宋" w:hAnsi="仿宋" w:eastAsia="仿宋" w:cs="仿宋"/>
          <w:b/>
          <w:bCs/>
          <w:sz w:val="28"/>
          <w:szCs w:val="28"/>
        </w:rPr>
        <w:t xml:space="preserve">合署经办人员。</w:t>
      </w:r>
      <w:r>
        <w:rPr>
          <w:rFonts w:hint="eastAsia" w:ascii="仿宋" w:hAnsi="仿宋" w:eastAsia="仿宋" w:cs="仿宋"/>
          <w:b/>
          <w:bCs/>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投标人必须为所投</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各县区（含市本级）医保经办机构按照不低于每3万参保人员配备1名具备医学类、财务、计算机等</w:t>
      </w:r>
      <w:r>
        <w:rPr>
          <w:rFonts w:hint="eastAsia" w:ascii="仿宋" w:hAnsi="仿宋" w:eastAsia="仿宋" w:cs="Times New Roman"/>
          <w:sz w:val="28"/>
          <w:szCs w:val="28"/>
          <w:lang w:val="en-US" w:eastAsia="zh-CN"/>
        </w:rPr>
        <w:t xml:space="preserve">专业</w:t>
      </w:r>
      <w:r>
        <w:rPr>
          <w:rFonts w:hint="eastAsia" w:ascii="仿宋" w:hAnsi="仿宋" w:eastAsia="仿宋" w:cs="Times New Roman"/>
          <w:sz w:val="28"/>
          <w:szCs w:val="28"/>
        </w:rPr>
        <w:t xml:space="preserve">的工作人员（其中医学类占比不低于50%）。需驻场与各级医保经办机构合署办公，办理城乡居民和职工大病保险赔付业务，协助、参与城乡居民和职工医保运行监管。</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具体配备人数为：</w:t>
      </w:r>
      <w:r>
        <w:rPr>
          <w:rFonts w:hint="eastAsia" w:ascii="仿宋" w:hAnsi="仿宋" w:eastAsia="仿宋" w:cs="Times New Roman"/>
          <w:sz w:val="28"/>
          <w:szCs w:val="28"/>
          <w:lang w:eastAsia="zh-CN"/>
        </w:rPr>
        <w:t xml:space="preserve">第一包</w:t>
      </w:r>
      <w:r>
        <w:rPr>
          <w:rFonts w:hint="eastAsia" w:ascii="仿宋" w:hAnsi="仿宋" w:eastAsia="仿宋" w:cs="Times New Roman"/>
          <w:sz w:val="28"/>
          <w:szCs w:val="28"/>
          <w:lang w:val="en-US" w:eastAsia="zh-CN"/>
        </w:rPr>
        <w:t xml:space="preserve">65</w:t>
      </w:r>
      <w:r>
        <w:rPr>
          <w:rFonts w:hint="eastAsia" w:ascii="仿宋" w:hAnsi="仿宋" w:eastAsia="仿宋" w:cs="Times New Roman"/>
          <w:sz w:val="28"/>
          <w:szCs w:val="28"/>
        </w:rPr>
        <w:t xml:space="preserve">人、第二</w:t>
      </w:r>
      <w:r>
        <w:rPr>
          <w:rFonts w:hint="eastAsia" w:ascii="仿宋" w:hAnsi="仿宋" w:eastAsia="仿宋" w:cs="Times New Roman"/>
          <w:sz w:val="28"/>
          <w:szCs w:val="28"/>
          <w:lang w:val="en-US" w:eastAsia="zh-CN"/>
        </w:rPr>
        <w:t xml:space="preserve">包49</w:t>
      </w:r>
      <w:r>
        <w:rPr>
          <w:rFonts w:hint="eastAsia" w:ascii="仿宋" w:hAnsi="仿宋" w:eastAsia="仿宋" w:cs="Times New Roman"/>
          <w:sz w:val="28"/>
          <w:szCs w:val="28"/>
        </w:rPr>
        <w:t xml:space="preserve">人</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第三包45人</w:t>
      </w:r>
      <w:r>
        <w:rPr>
          <w:rFonts w:hint="eastAsia" w:ascii="仿宋" w:hAnsi="仿宋" w:eastAsia="仿宋" w:cs="Times New Roman"/>
          <w:sz w:val="28"/>
          <w:szCs w:val="28"/>
        </w:rPr>
        <w:t xml:space="preserve">，配备人数确定后在服务期内不予增减。</w:t>
      </w:r>
      <w:r>
        <w:rPr>
          <w:rFonts w:hint="eastAsia" w:ascii="仿宋" w:hAnsi="仿宋" w:eastAsia="仿宋" w:cs="Times New Roman"/>
          <w:sz w:val="28"/>
          <w:szCs w:val="28"/>
          <w:lang w:val="en-US" w:eastAsia="zh-CN"/>
        </w:rPr>
        <w:t xml:space="preserve">各采购包承保单位牵头负责各片区内部经办事务的组织、实施、落实以及人员的招聘、管理、人员成本支付等职责。</w:t>
      </w:r>
      <w:r>
        <w:rPr>
          <w:rFonts w:hint="eastAsia" w:ascii="仿宋" w:hAnsi="仿宋" w:eastAsia="仿宋" w:cs="Times New Roman"/>
          <w:sz w:val="28"/>
          <w:szCs w:val="28"/>
        </w:rPr>
        <w:t xml:space="preserve">202</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年度每名合署经办人员的人员成本为7万元/人，往后年度人员成本标准可由采购人按照社会经济发展水平适当增长，年增长幅度控制在1%-5%以内。</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合署经办人员需驻场服务，工作时间由采购人安排。所有人员必须身体健康，无不良嗜好，经过中标人统一培训，正常上岗，普通话较为标准，亲和力较强。</w:t>
      </w:r>
      <w:r>
        <w:rPr>
          <w:rFonts w:hint="eastAsia"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注:</w:t>
      </w:r>
      <w:r>
        <w:rPr>
          <w:rFonts w:ascii="仿宋" w:hAnsi="仿宋" w:eastAsia="仿宋" w:cs="Times New Roman"/>
          <w:sz w:val="28"/>
          <w:szCs w:val="28"/>
        </w:rPr>
      </w:r>
      <w:r/>
    </w:p>
    <w:p>
      <w:pPr>
        <w:pStyle w:val="682"/>
        <w:numPr>
          <w:ilvl w:val="0"/>
          <w:numId w:val="8"/>
        </w:numPr>
        <w:ind w:firstLine="560"/>
        <w:spacing w:line="520" w:lineRule="exact"/>
        <w:rPr>
          <w:rFonts w:hint="eastAsia" w:ascii="仿宋" w:hAnsi="仿宋" w:eastAsia="仿宋" w:cs="Times New Roman"/>
          <w:b/>
          <w:bCs w:val="0"/>
          <w:sz w:val="28"/>
          <w:szCs w:val="28"/>
        </w:rPr>
      </w:pPr>
      <w:r>
        <w:rPr>
          <w:rFonts w:hint="eastAsia" w:ascii="仿宋" w:hAnsi="仿宋" w:eastAsia="仿宋" w:cs="Times New Roman"/>
          <w:b/>
          <w:bCs w:val="0"/>
          <w:sz w:val="28"/>
          <w:szCs w:val="28"/>
        </w:rPr>
        <w:t xml:space="preserve">上述“3.</w:t>
      </w:r>
      <w:r>
        <w:rPr>
          <w:rFonts w:hint="eastAsia" w:ascii="仿宋" w:hAnsi="仿宋" w:eastAsia="仿宋" w:cs="仿宋"/>
          <w:b/>
          <w:bCs w:val="0"/>
          <w:sz w:val="28"/>
          <w:szCs w:val="28"/>
        </w:rPr>
        <w:t xml:space="preserve">合署经办人员</w:t>
      </w:r>
      <w:r>
        <w:rPr>
          <w:rFonts w:hint="eastAsia" w:ascii="仿宋" w:hAnsi="仿宋" w:eastAsia="仿宋" w:cs="Times New Roman"/>
          <w:b/>
          <w:bCs w:val="0"/>
          <w:sz w:val="28"/>
          <w:szCs w:val="28"/>
        </w:rPr>
        <w:t xml:space="preserve">”中的人员配置要求</w:t>
      </w:r>
      <w:r>
        <w:rPr>
          <w:rFonts w:ascii="仿宋" w:hAnsi="仿宋" w:eastAsia="仿宋" w:cs="Times New Roman"/>
          <w:b/>
          <w:bCs w:val="0"/>
          <w:sz w:val="28"/>
          <w:szCs w:val="28"/>
        </w:rPr>
        <w:t xml:space="preserve">为最低配置，</w:t>
      </w:r>
      <w:r>
        <w:rPr>
          <w:rFonts w:hint="eastAsia" w:ascii="仿宋" w:hAnsi="仿宋" w:eastAsia="仿宋" w:cs="Times New Roman"/>
          <w:b/>
          <w:bCs w:val="0"/>
          <w:sz w:val="28"/>
          <w:szCs w:val="28"/>
        </w:rPr>
        <w:t xml:space="preserve">投标人参加投标时，必须针对上述要求</w:t>
      </w:r>
      <w:r>
        <w:rPr>
          <w:rFonts w:hint="eastAsia" w:ascii="仿宋" w:hAnsi="仿宋" w:eastAsia="仿宋" w:cs="Times New Roman"/>
          <w:b/>
          <w:bCs w:val="0"/>
          <w:sz w:val="28"/>
          <w:szCs w:val="28"/>
          <w:lang w:eastAsia="zh-CN"/>
        </w:rPr>
        <w:t xml:space="preserve">逐项</w:t>
      </w:r>
      <w:r>
        <w:rPr>
          <w:rFonts w:hint="eastAsia" w:ascii="仿宋" w:hAnsi="仿宋" w:eastAsia="仿宋" w:cs="Times New Roman"/>
          <w:b/>
          <w:bCs w:val="0"/>
          <w:sz w:val="28"/>
          <w:szCs w:val="28"/>
        </w:rPr>
        <w:t xml:space="preserve">提供书面承诺函</w:t>
      </w:r>
      <w:r>
        <w:rPr>
          <w:rFonts w:hint="eastAsia" w:ascii="仿宋" w:hAnsi="仿宋" w:eastAsia="仿宋" w:cs="Times New Roman"/>
          <w:b/>
          <w:bCs w:val="0"/>
          <w:sz w:val="28"/>
          <w:szCs w:val="28"/>
          <w:lang w:eastAsia="zh-CN"/>
        </w:rPr>
        <w:t xml:space="preserve">（格式由投标人自定，加盖投标人电子签章）</w:t>
      </w:r>
      <w:r>
        <w:rPr>
          <w:rFonts w:hint="eastAsia" w:ascii="仿宋" w:hAnsi="仿宋" w:eastAsia="仿宋" w:cs="Times New Roman"/>
          <w:b/>
          <w:bCs w:val="0"/>
          <w:sz w:val="28"/>
          <w:szCs w:val="28"/>
        </w:rPr>
        <w:t xml:space="preserve">，</w:t>
      </w:r>
      <w:r>
        <w:rPr>
          <w:rFonts w:hint="eastAsia" w:ascii="仿宋" w:hAnsi="仿宋" w:eastAsia="仿宋" w:cs="Times New Roman"/>
          <w:b/>
          <w:bCs w:val="0"/>
          <w:sz w:val="28"/>
          <w:szCs w:val="28"/>
          <w:lang w:eastAsia="zh-CN"/>
        </w:rPr>
        <w:t xml:space="preserve">不</w:t>
      </w:r>
      <w:r>
        <w:rPr>
          <w:rFonts w:hint="eastAsia" w:ascii="仿宋" w:hAnsi="仿宋" w:eastAsia="仿宋" w:cs="Times New Roman"/>
          <w:b/>
          <w:bCs w:val="0"/>
          <w:sz w:val="28"/>
          <w:szCs w:val="28"/>
        </w:rPr>
        <w:t xml:space="preserve">提供作无效投标处理。</w:t>
      </w:r>
      <w:r>
        <w:rPr>
          <w:rFonts w:hint="eastAsia" w:ascii="仿宋" w:hAnsi="仿宋" w:eastAsia="仿宋" w:cs="Times New Roman"/>
          <w:b/>
          <w:bCs w:val="0"/>
          <w:sz w:val="28"/>
          <w:szCs w:val="28"/>
        </w:rPr>
      </w:r>
      <w:r/>
    </w:p>
    <w:p>
      <w:pPr>
        <w:pStyle w:val="682"/>
        <w:ind w:firstLine="560"/>
        <w:spacing w:line="520" w:lineRule="exact"/>
        <w:rPr>
          <w:rFonts w:hint="eastAsia" w:ascii="仿宋" w:hAnsi="仿宋" w:eastAsia="仿宋" w:cs="仿宋"/>
          <w:b w:val="0"/>
          <w:bCs/>
          <w:sz w:val="28"/>
          <w:szCs w:val="28"/>
        </w:rPr>
      </w:pPr>
      <w:r>
        <w:rPr>
          <w:rFonts w:hint="eastAsia" w:ascii="仿宋" w:hAnsi="仿宋" w:eastAsia="仿宋" w:cs="Times New Roman"/>
          <w:b w:val="0"/>
          <w:bCs/>
          <w:sz w:val="28"/>
          <w:szCs w:val="28"/>
        </w:rPr>
        <w:t xml:space="preserve">（2）本项目所指人员成本包含职工工资总额、社会保险费用、职工福利费用及其他人工成本支出等全部人员费用，</w:t>
      </w:r>
      <w:r>
        <w:rPr>
          <w:rFonts w:hint="eastAsia" w:ascii="仿宋" w:hAnsi="仿宋" w:eastAsia="仿宋" w:cs="仿宋"/>
          <w:b w:val="0"/>
          <w:bCs/>
          <w:sz w:val="28"/>
          <w:szCs w:val="28"/>
        </w:rPr>
        <w:t xml:space="preserve">均只针对上述“</w:t>
      </w:r>
      <w:r>
        <w:rPr>
          <w:rFonts w:hint="eastAsia" w:ascii="仿宋" w:hAnsi="仿宋" w:eastAsia="仿宋" w:cs="Times New Roman"/>
          <w:b w:val="0"/>
          <w:bCs/>
          <w:sz w:val="28"/>
          <w:szCs w:val="28"/>
        </w:rPr>
        <w:t xml:space="preserve">3.</w:t>
      </w:r>
      <w:r>
        <w:rPr>
          <w:rFonts w:hint="eastAsia" w:ascii="仿宋" w:hAnsi="仿宋" w:eastAsia="仿宋" w:cs="仿宋"/>
          <w:b w:val="0"/>
          <w:bCs/>
          <w:sz w:val="28"/>
          <w:szCs w:val="28"/>
        </w:rPr>
        <w:t xml:space="preserve">合署经办人员”，不包含项目负责人和专职管理人员的工资待遇、福利等相关费用。项目负责人和专职管理人员的人员成本由投标人另行承担，不纳入本项目人员成本范围。</w:t>
      </w:r>
      <w:r>
        <w:rPr>
          <w:rFonts w:hint="eastAsia" w:ascii="仿宋" w:hAnsi="仿宋" w:eastAsia="仿宋" w:cs="仿宋"/>
          <w:b w:val="0"/>
          <w:bCs/>
          <w:sz w:val="28"/>
          <w:szCs w:val="28"/>
        </w:rPr>
      </w:r>
      <w:r/>
    </w:p>
    <w:p>
      <w:pPr>
        <w:pStyle w:val="682"/>
        <w:ind w:firstLine="562"/>
        <w:spacing w:line="520" w:lineRule="exact"/>
        <w:rPr>
          <w:rFonts w:ascii="仿宋" w:hAnsi="仿宋" w:eastAsia="仿宋" w:cs="Times New Roman"/>
          <w:b/>
          <w:bCs w:val="0"/>
          <w:sz w:val="28"/>
          <w:szCs w:val="28"/>
          <w:highlight w:val="none"/>
        </w:rPr>
      </w:pPr>
      <w:r>
        <w:rPr>
          <w:rFonts w:ascii="仿宋" w:hAnsi="仿宋" w:eastAsia="仿宋" w:cs="Times New Roman"/>
          <w:b/>
          <w:bCs w:val="0"/>
          <w:sz w:val="28"/>
          <w:szCs w:val="28"/>
          <w:highlight w:val="none"/>
        </w:rPr>
        <w:t xml:space="preserve">（</w:t>
      </w:r>
      <w:r>
        <w:rPr>
          <w:rFonts w:hint="eastAsia" w:ascii="仿宋" w:hAnsi="仿宋" w:eastAsia="仿宋" w:cs="Times New Roman"/>
          <w:b/>
          <w:bCs w:val="0"/>
          <w:sz w:val="28"/>
          <w:szCs w:val="28"/>
          <w:highlight w:val="none"/>
        </w:rPr>
        <w:t xml:space="preserve">3</w:t>
      </w:r>
      <w:r>
        <w:rPr>
          <w:rFonts w:ascii="仿宋" w:hAnsi="仿宋" w:eastAsia="仿宋" w:cs="Times New Roman"/>
          <w:b/>
          <w:bCs w:val="0"/>
          <w:sz w:val="28"/>
          <w:szCs w:val="28"/>
          <w:highlight w:val="none"/>
        </w:rPr>
        <w:t xml:space="preserve">）投标人参加投标时，必须提供其承诺每名大病</w:t>
      </w:r>
      <w:r>
        <w:rPr>
          <w:rFonts w:hint="eastAsia" w:ascii="仿宋" w:hAnsi="仿宋" w:eastAsia="仿宋" w:cs="Times New Roman"/>
          <w:b/>
          <w:bCs w:val="0"/>
          <w:sz w:val="28"/>
          <w:szCs w:val="28"/>
          <w:highlight w:val="none"/>
        </w:rPr>
        <w:t xml:space="preserve">合署</w:t>
      </w:r>
      <w:r>
        <w:rPr>
          <w:rFonts w:ascii="仿宋" w:hAnsi="仿宋" w:eastAsia="仿宋" w:cs="Times New Roman"/>
          <w:b/>
          <w:bCs w:val="0"/>
          <w:sz w:val="28"/>
          <w:szCs w:val="28"/>
          <w:highlight w:val="none"/>
        </w:rPr>
        <w:t xml:space="preserve">经办工作人员的人员费用均按照采购人确认的标准执行的书面承诺函</w:t>
      </w:r>
      <w:r>
        <w:rPr>
          <w:rFonts w:hint="eastAsia" w:ascii="仿宋" w:hAnsi="仿宋" w:eastAsia="仿宋" w:cs="Times New Roman"/>
          <w:b/>
          <w:bCs w:val="0"/>
          <w:sz w:val="28"/>
          <w:szCs w:val="28"/>
          <w:highlight w:val="none"/>
        </w:rPr>
        <w:t xml:space="preserve">（格式由投标人自定，加盖投标人电子签章），不提供作无效投标处理。</w:t>
      </w:r>
      <w:r>
        <w:rPr>
          <w:rFonts w:ascii="仿宋" w:hAnsi="仿宋" w:eastAsia="仿宋" w:cs="Times New Roman"/>
          <w:b/>
          <w:bCs w:val="0"/>
          <w:sz w:val="28"/>
          <w:szCs w:val="28"/>
          <w:highlight w:val="none"/>
        </w:rPr>
      </w:r>
      <w:r/>
    </w:p>
    <w:p>
      <w:pPr>
        <w:pStyle w:val="682"/>
        <w:ind w:firstLine="560"/>
        <w:spacing w:line="520" w:lineRule="exact"/>
        <w:rPr>
          <w:rFonts w:hint="eastAsia" w:ascii="仿宋" w:hAnsi="仿宋" w:eastAsia="仿宋" w:cs="Times New Roman"/>
          <w:sz w:val="28"/>
          <w:szCs w:val="28"/>
          <w:lang w:eastAsia="zh-CN"/>
        </w:rPr>
      </w:pPr>
      <w:r>
        <w:rPr>
          <w:rFonts w:ascii="仿宋" w:hAnsi="仿宋" w:eastAsia="仿宋" w:cs="Times New Roman"/>
          <w:sz w:val="28"/>
          <w:szCs w:val="28"/>
        </w:rPr>
        <w:t xml:space="preserve">（二）非人力资源的配置</w:t>
      </w:r>
      <w:r>
        <w:rPr>
          <w:rFonts w:hint="eastAsia" w:ascii="仿宋" w:hAnsi="仿宋" w:eastAsia="仿宋" w:cs="Times New Roman"/>
          <w:b/>
          <w:sz w:val="28"/>
          <w:szCs w:val="28"/>
          <w:highlight w:val="none"/>
          <w:lang w:eastAsia="zh-CN"/>
        </w:rPr>
        <w:t xml:space="preserve">（投标人参加投标时，须按照以下内容进行承诺，格式由投标人自定加盖投标人电子签章，不承诺作无效投标处理。）</w:t>
      </w:r>
      <w:r>
        <w:rPr>
          <w:rFonts w:hint="eastAsia" w:ascii="仿宋" w:hAnsi="仿宋" w:eastAsia="仿宋" w:cs="Times New Roman"/>
          <w:sz w:val="28"/>
          <w:szCs w:val="28"/>
          <w:lang w:eastAsia="zh-CN"/>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投标人自行配置电脑、打印机、录音笔、数码相机、执法记录仪、扫描仪等必要设备，并配备稽核车辆（车辆汽油费、过路过桥费、保险费等其他费用均由投标人承担）。</w:t>
      </w:r>
      <w:r>
        <w:rPr>
          <w:rFonts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投标人自中标之日起一个月内，信息系统需与“</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”实现对接进行数据传输，相关费用由投标人承担。未在规定时间内与“</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”对接实现数据传输的，采购人有权</w:t>
      </w:r>
      <w:r>
        <w:rPr>
          <w:rFonts w:hint="eastAsia" w:ascii="仿宋" w:hAnsi="仿宋" w:eastAsia="仿宋" w:cs="Times New Roman"/>
          <w:sz w:val="28"/>
          <w:szCs w:val="28"/>
        </w:rPr>
        <w:t xml:space="preserve">追究其法律责任。</w:t>
      </w:r>
      <w:r>
        <w:rPr>
          <w:rFonts w:hint="eastAsia"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★五、有关要求</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提升管理服务能力和水平。投标人具备完善的健康保险精算、风险管理、核保核赔的制度和能力，承办大病保险获得的保费必须建立资金专户，实行单独核算、专款专用，确保资金安全，保证偿付能力。投标人要切实加强管理，控制风险，降低管理成本、提升服务效率，依规、及时、合理向医疗机构或参保人赔付费用。投标人要切实承担起运行监管、费用审核、资金结算、政策宣传，查处和办理咨询投诉案件等职责，保证及时赔付。</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2、实现“一站式”服务。投标人必须与各级医保经办机构合署办公，提供“一站式”即时结算服务，确保参保人方便、及时享受保险待遇。派驻</w:t>
      </w:r>
      <w:r>
        <w:rPr>
          <w:rFonts w:hint="eastAsia" w:ascii="仿宋" w:hAnsi="仿宋" w:eastAsia="仿宋" w:cs="Times New Roman"/>
          <w:sz w:val="28"/>
          <w:szCs w:val="28"/>
        </w:rPr>
        <w:t xml:space="preserve">合署经办</w:t>
      </w:r>
      <w:r>
        <w:rPr>
          <w:rFonts w:ascii="仿宋" w:hAnsi="仿宋" w:eastAsia="仿宋" w:cs="Times New Roman"/>
          <w:sz w:val="28"/>
          <w:szCs w:val="28"/>
        </w:rPr>
        <w:t xml:space="preserve">人员必须遵守各级医保经办机构工作要求，服从医保经办机构统一管理。经淮安市</w:t>
      </w:r>
      <w:r>
        <w:rPr>
          <w:rFonts w:hint="eastAsia" w:ascii="仿宋" w:hAnsi="仿宋" w:eastAsia="仿宋" w:cs="Times New Roman"/>
          <w:sz w:val="28"/>
          <w:szCs w:val="28"/>
        </w:rPr>
        <w:t xml:space="preserve">社会医疗保险基金管理中心</w:t>
      </w:r>
      <w:r>
        <w:rPr>
          <w:rFonts w:ascii="仿宋" w:hAnsi="仿宋" w:eastAsia="仿宋" w:cs="Times New Roman"/>
          <w:sz w:val="28"/>
          <w:szCs w:val="28"/>
        </w:rPr>
        <w:t xml:space="preserve">授权，投标人可以依托“</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”进行信息交换和数据共享，以完善服务流程，简化赔付手续，实现市内、外医药费用结算方式、周期等均与城乡居民医保、职工医保</w:t>
      </w:r>
      <w:r>
        <w:rPr>
          <w:rFonts w:hint="eastAsia" w:ascii="仿宋" w:hAnsi="仿宋" w:eastAsia="仿宋" w:cs="Times New Roman"/>
          <w:sz w:val="28"/>
          <w:szCs w:val="28"/>
        </w:rPr>
        <w:t xml:space="preserve">结算</w:t>
      </w:r>
      <w:r>
        <w:rPr>
          <w:rFonts w:ascii="仿宋" w:hAnsi="仿宋" w:eastAsia="仿宋" w:cs="Times New Roman"/>
          <w:sz w:val="28"/>
          <w:szCs w:val="28"/>
        </w:rPr>
        <w:t xml:space="preserve">同步进行。</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投标人应对每一位参保人员在参保地因意外伤害所发生的医疗费用进行实地核查，对在参保地外所发生的可疑案件、大额案件逐一进行核查，并保证材料的真实性。投标人应承诺提供其全国机构网络及第三方网络作为异地调查延伸支持。</w:t>
      </w:r>
      <w:r>
        <w:rPr>
          <w:rFonts w:hint="eastAsia" w:ascii="仿宋" w:hAnsi="仿宋" w:eastAsia="仿宋" w:cs="Times New Roman"/>
          <w:sz w:val="28"/>
          <w:szCs w:val="28"/>
        </w:rPr>
        <w:t xml:space="preserve">投标人</w:t>
      </w:r>
      <w:r>
        <w:rPr>
          <w:rFonts w:ascii="仿宋" w:hAnsi="仿宋" w:eastAsia="仿宋" w:cs="Times New Roman"/>
          <w:sz w:val="28"/>
          <w:szCs w:val="28"/>
        </w:rPr>
        <w:t xml:space="preserve">须保证</w:t>
      </w:r>
      <w:r>
        <w:rPr>
          <w:rFonts w:hint="eastAsia" w:ascii="仿宋" w:hAnsi="仿宋" w:eastAsia="仿宋" w:cs="Times New Roman"/>
          <w:sz w:val="28"/>
          <w:szCs w:val="28"/>
        </w:rPr>
        <w:t xml:space="preserve">合署经办</w:t>
      </w:r>
      <w:r>
        <w:rPr>
          <w:rFonts w:ascii="仿宋" w:hAnsi="仿宋" w:eastAsia="仿宋" w:cs="Times New Roman"/>
          <w:sz w:val="28"/>
          <w:szCs w:val="28"/>
        </w:rPr>
        <w:t xml:space="preserve">人员的稳定性，并负责支付工作人员的相关费用。</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4、投标人不得利用经办城乡居民和职工大病保险之便推销或者变相推销其它商业保险产品。</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5、投标人具备功能完整、相对独立的健康保险信息管理系统。投标人信息系统与“</w:t>
      </w:r>
      <w:r>
        <w:rPr>
          <w:rFonts w:hint="eastAsia" w:ascii="仿宋" w:hAnsi="仿宋" w:eastAsia="仿宋" w:cs="Times New Roman"/>
          <w:sz w:val="28"/>
          <w:szCs w:val="28"/>
        </w:rPr>
        <w:t xml:space="preserve">江苏省医疗保障信息平台</w:t>
      </w:r>
      <w:r>
        <w:rPr>
          <w:rFonts w:ascii="仿宋" w:hAnsi="仿宋" w:eastAsia="仿宋" w:cs="Times New Roman"/>
          <w:sz w:val="28"/>
          <w:szCs w:val="28"/>
        </w:rPr>
        <w:t xml:space="preserve">”实现对接进行数据传输。投标人因经办城乡居民和职工大病保险所需要的信息系统及医疗费用智能审核系统开发和硬件投入费用、与医保信息系统对接的相关费用，以及今后因政策调整所需的应由投标人承担的投标人自身的系统开发、接口改造及硬件投入费用等由投标人承担。</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6、投标人应严格按照《社会保险个人权益记录管理办法》（中华人民共和国人力资源和社会保障部令第14号）实施参保信息管理，对因经办保险业务获取的个人权益记录信息承担保密责任，不得将个人权益记录信息用于管理基本医疗保险以外的其他用途，不得向第三方交换。本项目其他未提及的技术要求应当符合国家强制性（如没有国家强制性要求的则按行业标准执行）标准的要求。</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7、投标人符合国家金融监督管理总局及国家金融监督管理总局江苏监管局规定的其他条件；</w:t>
      </w:r>
      <w:r>
        <w:rPr>
          <w:rFonts w:ascii="仿宋" w:hAnsi="仿宋" w:eastAsia="仿宋" w:cs="Times New Roman"/>
          <w:sz w:val="28"/>
          <w:szCs w:val="28"/>
          <w:highlight w:val="none"/>
        </w:rPr>
      </w:r>
      <w:r/>
    </w:p>
    <w:p>
      <w:pPr>
        <w:pStyle w:val="682"/>
        <w:ind w:firstLine="560"/>
        <w:spacing w:line="520" w:lineRule="exact"/>
        <w:rPr>
          <w:rFonts w:ascii="仿宋" w:hAnsi="仿宋" w:eastAsia="仿宋" w:cs="Times New Roman"/>
          <w:b/>
          <w:sz w:val="28"/>
          <w:szCs w:val="28"/>
        </w:rPr>
      </w:pPr>
      <w:r>
        <w:rPr>
          <w:rFonts w:ascii="仿宋" w:hAnsi="仿宋" w:eastAsia="仿宋" w:cs="Times New Roman"/>
          <w:b/>
          <w:sz w:val="28"/>
          <w:szCs w:val="28"/>
        </w:rPr>
        <w:t xml:space="preserve">注:投标人参加投标时，必须提供针对上述第1-</w:t>
      </w:r>
      <w:r>
        <w:rPr>
          <w:rFonts w:hint="eastAsia" w:ascii="仿宋" w:hAnsi="仿宋" w:eastAsia="仿宋" w:cs="Times New Roman"/>
          <w:b/>
          <w:sz w:val="28"/>
          <w:szCs w:val="28"/>
          <w:lang w:val="en-US" w:eastAsia="zh-CN"/>
        </w:rPr>
        <w:t xml:space="preserve">7</w:t>
      </w:r>
      <w:r>
        <w:rPr>
          <w:rFonts w:ascii="仿宋" w:hAnsi="仿宋" w:eastAsia="仿宋" w:cs="Times New Roman"/>
          <w:b/>
          <w:sz w:val="28"/>
          <w:szCs w:val="28"/>
        </w:rPr>
        <w:t xml:space="preserve">条逐条承诺的书面承诺函</w:t>
      </w:r>
      <w:r>
        <w:rPr>
          <w:rFonts w:hint="eastAsia" w:ascii="仿宋" w:hAnsi="仿宋" w:eastAsia="仿宋" w:cs="Times New Roman"/>
          <w:b/>
          <w:sz w:val="28"/>
          <w:szCs w:val="28"/>
          <w:lang w:eastAsia="zh-CN"/>
        </w:rPr>
        <w:t xml:space="preserve">（格式由投标人自定，加盖投标人电子签章）</w:t>
      </w:r>
      <w:r>
        <w:rPr>
          <w:rFonts w:ascii="仿宋" w:hAnsi="仿宋" w:eastAsia="仿宋" w:cs="Times New Roman"/>
          <w:b/>
          <w:sz w:val="28"/>
          <w:szCs w:val="28"/>
        </w:rPr>
        <w:t xml:space="preserve">，</w:t>
      </w:r>
      <w:r>
        <w:rPr>
          <w:rFonts w:hint="eastAsia" w:ascii="仿宋" w:hAnsi="仿宋" w:eastAsia="仿宋" w:cs="Times New Roman"/>
          <w:b/>
          <w:sz w:val="28"/>
          <w:szCs w:val="28"/>
          <w:lang w:eastAsia="zh-CN"/>
        </w:rPr>
        <w:t xml:space="preserve">不</w:t>
      </w:r>
      <w:r>
        <w:rPr>
          <w:rFonts w:ascii="仿宋" w:hAnsi="仿宋" w:eastAsia="仿宋" w:cs="Times New Roman"/>
          <w:b/>
          <w:sz w:val="28"/>
          <w:szCs w:val="28"/>
        </w:rPr>
        <w:t xml:space="preserve">承诺作无效投标处理。</w:t>
      </w:r>
      <w:r>
        <w:rPr>
          <w:rFonts w:ascii="仿宋" w:hAnsi="仿宋" w:eastAsia="仿宋" w:cs="Times New Roman"/>
          <w:b/>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★六、服务考核</w:t>
      </w:r>
      <w:r>
        <w:rPr>
          <w:rFonts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w:t>
      </w:r>
      <w:r>
        <w:rPr>
          <w:rFonts w:ascii="仿宋" w:hAnsi="仿宋" w:eastAsia="仿宋" w:cs="Times New Roman"/>
          <w:sz w:val="28"/>
          <w:szCs w:val="28"/>
        </w:rPr>
        <w:t xml:space="preserve">采购人通过建立投诉受理渠道、日常抽查、政府审计、考核等多种方式定期对中标人提供的经办服务、财务核算以及基金管控等情况进行考核，</w:t>
      </w:r>
      <w:r>
        <w:rPr>
          <w:rFonts w:ascii="仿宋" w:hAnsi="仿宋" w:eastAsia="仿宋" w:cs="Times New Roman"/>
          <w:b/>
          <w:sz w:val="28"/>
          <w:szCs w:val="28"/>
        </w:rPr>
        <w:t xml:space="preserve">考核结果与履约保证金的返还额度挂钩</w:t>
      </w:r>
      <w:r>
        <w:rPr>
          <w:rFonts w:hint="eastAsia" w:ascii="仿宋" w:hAnsi="仿宋" w:eastAsia="仿宋" w:cs="Times New Roman"/>
          <w:b/>
          <w:sz w:val="28"/>
          <w:szCs w:val="28"/>
        </w:rPr>
        <w:t xml:space="preserve">。</w:t>
      </w:r>
      <w:r>
        <w:rPr>
          <w:rFonts w:hint="eastAsia" w:ascii="仿宋" w:hAnsi="仿宋" w:eastAsia="仿宋" w:cs="Times New Roman"/>
          <w:sz w:val="28"/>
          <w:szCs w:val="28"/>
        </w:rPr>
        <w:t xml:space="preserve">考核办法另行制定，</w:t>
      </w:r>
      <w:r>
        <w:rPr>
          <w:rFonts w:ascii="仿宋" w:hAnsi="仿宋" w:eastAsia="仿宋" w:cs="Times New Roman"/>
          <w:sz w:val="28"/>
          <w:szCs w:val="28"/>
        </w:rPr>
        <w:t xml:space="preserve">采购人有权邀请相关专业机构和定点医疗机构组成考核小组对中标人相关工作进行评价，内容包含但不限于:本合同履行情况、理赔时限情况、业务经办及服务质量情况、稽核巡查工作开展情况、医疗费用管控情况、资金管理情况、制度建立完善情况、团队建设及人员管理情况、信息化建设情况等，中标人须积极配合。</w:t>
      </w:r>
      <w:r>
        <w:rPr>
          <w:rFonts w:hint="eastAsia"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ascii="仿宋" w:hAnsi="仿宋" w:eastAsia="仿宋" w:cs="Times New Roman"/>
          <w:sz w:val="28"/>
          <w:szCs w:val="28"/>
        </w:rPr>
        <w:t xml:space="preserve">、中标人应严格按照城乡居民和职工大病保险政策要求，做好经办管理服务，对</w:t>
      </w:r>
      <w:r>
        <w:rPr>
          <w:rFonts w:hint="eastAsia" w:ascii="仿宋" w:hAnsi="仿宋" w:eastAsia="仿宋" w:cs="Times New Roman"/>
          <w:sz w:val="28"/>
          <w:szCs w:val="28"/>
        </w:rPr>
        <w:t xml:space="preserve">合署</w:t>
      </w:r>
      <w:r>
        <w:rPr>
          <w:rFonts w:ascii="仿宋" w:hAnsi="仿宋" w:eastAsia="仿宋" w:cs="Times New Roman"/>
          <w:sz w:val="28"/>
          <w:szCs w:val="28"/>
        </w:rPr>
        <w:t xml:space="preserve">经办人员加强日常管理及</w:t>
      </w:r>
      <w:r>
        <w:rPr>
          <w:rFonts w:hint="eastAsia" w:ascii="仿宋" w:hAnsi="仿宋" w:eastAsia="仿宋" w:cs="Times New Roman"/>
          <w:sz w:val="28"/>
          <w:szCs w:val="28"/>
        </w:rPr>
        <w:t xml:space="preserve">绩效</w:t>
      </w:r>
      <w:r>
        <w:rPr>
          <w:rFonts w:ascii="仿宋" w:hAnsi="仿宋" w:eastAsia="仿宋" w:cs="Times New Roman"/>
          <w:sz w:val="28"/>
          <w:szCs w:val="28"/>
        </w:rPr>
        <w:t xml:space="preserve">考核。</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★七、</w:t>
      </w:r>
      <w:r>
        <w:rPr>
          <w:rFonts w:hint="eastAsia" w:ascii="仿宋" w:hAnsi="仿宋" w:eastAsia="仿宋" w:cs="Times New Roman"/>
          <w:sz w:val="28"/>
          <w:szCs w:val="28"/>
          <w:highlight w:val="none"/>
          <w:lang w:val="en-US" w:eastAsia="zh-CN"/>
        </w:rPr>
        <w:t xml:space="preserve">验收要求</w:t>
      </w:r>
      <w:r>
        <w:rPr>
          <w:rFonts w:ascii="仿宋" w:hAnsi="仿宋" w:eastAsia="仿宋" w:cs="Times New Roman"/>
          <w:sz w:val="28"/>
          <w:szCs w:val="28"/>
          <w:highlight w:val="none"/>
        </w:rPr>
      </w:r>
      <w:r/>
    </w:p>
    <w:p>
      <w:pPr>
        <w:pStyle w:val="682"/>
        <w:ind w:firstLine="560"/>
        <w:spacing w:line="520" w:lineRule="exact"/>
        <w:rPr>
          <w:rFonts w:ascii="Times New Roman" w:hAnsi="Times New Roman" w:eastAsia="宋体" w:cs="Times New Roman"/>
          <w:highlight w:val="none"/>
        </w:rPr>
      </w:pPr>
      <w:r>
        <w:rPr>
          <w:rFonts w:ascii="仿宋" w:hAnsi="仿宋" w:eastAsia="仿宋" w:cs="Times New Roman"/>
          <w:sz w:val="28"/>
          <w:szCs w:val="28"/>
          <w:highlight w:val="none"/>
          <w:lang w:val="en-US" w:eastAsia="zh-CN"/>
        </w:rPr>
        <w:t xml:space="preserve">重点验收中标人履约情况是否符合要求，包括但不限于经办服务质量、理赔时限合规性、医疗费用管控成效、资金管理规范性、制度建设完整性、人员管理有效性、信息化建设适用性等，同步核查考核结果的落实情况。</w:t>
      </w:r>
      <w:r>
        <w:rPr>
          <w:rFonts w:ascii="Times New Roman" w:hAnsi="Times New Roman" w:eastAsia="宋体" w:cs="Times New Roman"/>
          <w:highlight w:val="none"/>
        </w:rPr>
      </w:r>
      <w:r/>
    </w:p>
    <w:p>
      <w:pPr>
        <w:pStyle w:val="682"/>
        <w:ind w:firstLine="560"/>
        <w:spacing w:line="520" w:lineRule="exact"/>
        <w:rPr>
          <w:rFonts w:ascii="Times New Roman" w:hAnsi="Times New Roman" w:eastAsia="宋体" w:cs="Times New Roman"/>
        </w:rPr>
      </w:pPr>
      <w:r>
        <w:rPr>
          <w:rFonts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八</w:t>
      </w:r>
      <w:r>
        <w:rPr>
          <w:rFonts w:ascii="仿宋" w:hAnsi="仿宋" w:eastAsia="仿宋" w:cs="Times New Roman"/>
          <w:sz w:val="28"/>
          <w:szCs w:val="28"/>
        </w:rPr>
        <w:t xml:space="preserve">、违约处理</w:t>
      </w:r>
      <w:r>
        <w:rPr>
          <w:rFonts w:ascii="Times New Roman" w:hAnsi="Times New Roman" w:eastAsia="宋体" w:cs="Times New Roman"/>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在服务合同执行过程中，中标人有下列行为之一的，采购人可向中标人书面下达整改通知，并要求中标人在一个月内限期整改。对整改后仍达不到要求的，采购人有权解除合同。</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1、中标人未达到招标文件规定的服务要求和投标承诺的；</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2、中标人在规定时限内未建立与经办服务配套的组织架构、管理制度、风险管控措施的；</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3、中标人资金使用不符合财务规范要求，或专项审计中发现严重违规、违纪行为的；</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4、中标人未在承诺的服务时限内完成经办服务，或者未在规定的理赔时限内完成结算和赔付，情节严重的。</w:t>
      </w:r>
      <w:r>
        <w:rPr>
          <w:rFonts w:ascii="仿宋" w:hAnsi="仿宋" w:eastAsia="仿宋" w:cs="Times New Roman"/>
          <w:sz w:val="28"/>
          <w:szCs w:val="28"/>
        </w:rPr>
      </w:r>
      <w:r/>
    </w:p>
    <w:p>
      <w:pPr>
        <w:pStyle w:val="682"/>
        <w:ind w:firstLine="560"/>
        <w:spacing w:line="520" w:lineRule="exact"/>
        <w:rPr>
          <w:rFonts w:ascii="仿宋" w:hAnsi="仿宋" w:eastAsia="仿宋" w:cs="Times New Roman"/>
          <w:sz w:val="28"/>
          <w:szCs w:val="28"/>
        </w:rPr>
      </w:pPr>
      <w:r>
        <w:rPr>
          <w:rFonts w:ascii="仿宋" w:hAnsi="仿宋" w:eastAsia="仿宋" w:cs="Times New Roman"/>
          <w:sz w:val="28"/>
          <w:szCs w:val="28"/>
        </w:rPr>
        <w:t xml:space="preserve">本项目其他未提及的技术要求应当符合国家强制性（如没有国家强制性要求的则按行业标准执行）标准的要求。</w:t>
      </w:r>
      <w:r>
        <w:rPr>
          <w:rFonts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九</w:t>
      </w:r>
      <w:r>
        <w:rPr>
          <w:rFonts w:hint="eastAsia" w:ascii="仿宋" w:hAnsi="仿宋" w:eastAsia="仿宋" w:cs="Times New Roman"/>
          <w:sz w:val="28"/>
          <w:szCs w:val="28"/>
        </w:rPr>
        <w:t xml:space="preserve">、其他说明</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（一）关于招标文件中“保险总公司”表述的解释</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本项目招标文件中所表述的“保险总公司”，指该保险公司最顶层的保险总公司或保险集团公司或保险集团股份有限公司等。</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b w:val="0"/>
          <w:bCs w:val="0"/>
          <w:color w:val="000000"/>
          <w:sz w:val="28"/>
          <w:szCs w:val="28"/>
          <w:highlight w:val="none"/>
        </w:rPr>
        <w:t xml:space="preserve">（</w:t>
      </w:r>
      <w:r>
        <w:rPr>
          <w:rFonts w:hint="eastAsia" w:ascii="仿宋" w:hAnsi="仿宋" w:eastAsia="仿宋" w:cs="Times New Roman"/>
          <w:b w:val="0"/>
          <w:bCs w:val="0"/>
          <w:color w:val="000000"/>
          <w:sz w:val="28"/>
          <w:szCs w:val="28"/>
          <w:highlight w:val="none"/>
          <w:lang w:val="en-US" w:eastAsia="zh-CN"/>
        </w:rPr>
        <w:t xml:space="preserve">二</w:t>
      </w:r>
      <w:r>
        <w:rPr>
          <w:rFonts w:hint="eastAsia" w:ascii="仿宋" w:hAnsi="仿宋" w:eastAsia="仿宋" w:cs="Times New Roman"/>
          <w:b w:val="0"/>
          <w:bCs w:val="0"/>
          <w:color w:val="000000"/>
          <w:sz w:val="28"/>
          <w:szCs w:val="28"/>
          <w:highlight w:val="none"/>
        </w:rPr>
        <w:t xml:space="preserve">）上条中所表述的“供应商单位负责人”，如该供应商为独立法人单位的，则指法定代表人；如供应商非独立法人单位的，则指该公司主</w:t>
      </w:r>
      <w:r>
        <w:rPr>
          <w:rFonts w:hint="eastAsia" w:ascii="仿宋" w:hAnsi="仿宋" w:eastAsia="仿宋" w:cs="Times New Roman"/>
          <w:sz w:val="28"/>
          <w:szCs w:val="28"/>
        </w:rPr>
        <w:t xml:space="preserve">要负责人即第一负责人。</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）本项目分为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个</w:t>
      </w:r>
      <w:r>
        <w:rPr>
          <w:rFonts w:hint="eastAsia" w:ascii="仿宋" w:hAnsi="仿宋" w:eastAsia="仿宋" w:cs="Times New Roman"/>
          <w:sz w:val="28"/>
          <w:szCs w:val="28"/>
          <w:lang w:eastAsia="zh-CN"/>
        </w:rPr>
        <w:t xml:space="preserve">包</w:t>
      </w:r>
      <w:r>
        <w:rPr>
          <w:rFonts w:hint="eastAsia" w:ascii="仿宋" w:hAnsi="仿宋" w:eastAsia="仿宋" w:cs="Times New Roman"/>
          <w:sz w:val="28"/>
          <w:szCs w:val="28"/>
        </w:rPr>
        <w:t xml:space="preserve">，为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rPr>
        <w:t xml:space="preserve">个合同项。</w:t>
      </w:r>
      <w:r>
        <w:rPr>
          <w:rFonts w:hint="eastAsia" w:ascii="仿宋" w:hAnsi="仿宋" w:eastAsia="仿宋" w:cs="Times New Roman"/>
          <w:sz w:val="28"/>
          <w:szCs w:val="28"/>
        </w:rPr>
      </w:r>
      <w:r/>
    </w:p>
    <w:p>
      <w:pPr>
        <w:pStyle w:val="682"/>
        <w:ind w:firstLine="56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四</w:t>
      </w:r>
      <w:r>
        <w:rPr>
          <w:rFonts w:hint="eastAsia" w:ascii="仿宋" w:hAnsi="仿宋" w:eastAsia="仿宋" w:cs="Times New Roman"/>
          <w:sz w:val="28"/>
          <w:szCs w:val="28"/>
        </w:rPr>
        <w:t xml:space="preserve">）根据招标文件“第一章 投标邀请”的“申请人的资格要求 本项目的特定资格要求”中的要求，对于一个大病保险</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，同一保险集团公司参与投标的子公司仅限一家。因此，单位负责人为同一人或者存在直接控股、管理关系的不同供应商，不得同时参加本次项目同一</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rPr>
        <w:t xml:space="preserve">的投标。</w:t>
      </w:r>
      <w:r>
        <w:rPr>
          <w:rFonts w:ascii="仿宋" w:hAnsi="仿宋" w:eastAsia="仿宋" w:cs="Times New Roman"/>
          <w:sz w:val="28"/>
          <w:szCs w:val="28"/>
          <w:lang w:val="en-US" w:eastAsia="zh-CN"/>
        </w:rPr>
      </w:r>
      <w:r/>
    </w:p>
    <w:p>
      <w:pPr>
        <w:pStyle w:val="682"/>
        <w:ind w:firstLine="560"/>
        <w:spacing w:line="520" w:lineRule="exact"/>
        <w:rPr>
          <w:rFonts w:ascii="Times New Roman" w:hAnsi="Times New Roman" w:eastAsia="宋体" w:cs="Times New Roman"/>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五</w:t>
      </w:r>
      <w:r>
        <w:rPr>
          <w:rFonts w:hint="eastAsia" w:ascii="仿宋" w:hAnsi="仿宋" w:eastAsia="仿宋" w:cs="Times New Roman"/>
          <w:sz w:val="28"/>
          <w:szCs w:val="28"/>
        </w:rPr>
        <w:t xml:space="preserve">）</w:t>
      </w:r>
      <w:r>
        <w:rPr>
          <w:rFonts w:ascii="仿宋" w:hAnsi="仿宋" w:eastAsia="仿宋" w:cs="Times New Roman"/>
          <w:sz w:val="28"/>
          <w:szCs w:val="28"/>
        </w:rPr>
        <w:t xml:space="preserve">有关信息获取</w:t>
      </w:r>
      <w:r>
        <w:rPr>
          <w:rFonts w:ascii="Times New Roman" w:hAnsi="Times New Roman" w:eastAsia="宋体" w:cs="Times New Roman"/>
        </w:rPr>
      </w:r>
      <w:r/>
    </w:p>
    <w:p>
      <w:pPr>
        <w:pStyle w:val="682"/>
        <w:ind w:firstLine="560"/>
        <w:spacing w:line="520" w:lineRule="exact"/>
        <w:rPr>
          <w:rFonts w:hint="eastAsia" w:ascii="黑体" w:hAnsi="黑体" w:eastAsia="黑体" w:cs="Times New Roman"/>
          <w:b/>
          <w:bCs/>
          <w:sz w:val="36"/>
        </w:rPr>
      </w:pPr>
      <w:r>
        <w:rPr>
          <w:rFonts w:ascii="仿宋" w:hAnsi="仿宋" w:eastAsia="仿宋" w:cs="Times New Roman"/>
          <w:sz w:val="28"/>
          <w:szCs w:val="28"/>
        </w:rPr>
        <w:t xml:space="preserve">《关于印发淮安市大病保险办法的通知》（淮医保发〔2019〕53号）、近3年</w:t>
      </w:r>
      <w:r>
        <w:rPr>
          <w:rFonts w:hint="eastAsia" w:ascii="仿宋" w:hAnsi="仿宋" w:eastAsia="仿宋" w:cs="Times New Roman"/>
          <w:sz w:val="28"/>
        </w:rPr>
        <w:t xml:space="preserve">淮安市城乡居民基本医疗保险、淮安市职工基本医疗保险相关大额费用补偿数据信息和补偿标准等有关政策规定</w:t>
      </w:r>
      <w:r>
        <w:rPr>
          <w:rFonts w:ascii="仿宋" w:hAnsi="仿宋" w:eastAsia="仿宋" w:cs="Times New Roman"/>
          <w:sz w:val="28"/>
          <w:szCs w:val="28"/>
        </w:rPr>
        <w:t xml:space="preserve">，参与投标的商业保险机构可向淮安市</w:t>
      </w:r>
      <w:r>
        <w:rPr>
          <w:rFonts w:hint="eastAsia" w:ascii="仿宋" w:hAnsi="仿宋" w:eastAsia="仿宋" w:cs="Times New Roman"/>
          <w:sz w:val="28"/>
          <w:szCs w:val="28"/>
        </w:rPr>
        <w:t xml:space="preserve">社会医疗保险基金管理中心</w:t>
      </w:r>
      <w:r>
        <w:rPr>
          <w:rFonts w:hint="eastAsia" w:ascii="仿宋" w:hAnsi="仿宋" w:eastAsia="仿宋" w:cs="Times New Roman"/>
          <w:sz w:val="28"/>
          <w:szCs w:val="28"/>
          <w:lang w:eastAsia="zh-CN"/>
        </w:rPr>
        <w:t xml:space="preserve">统筹管理科</w:t>
      </w:r>
      <w:r>
        <w:rPr>
          <w:rFonts w:ascii="仿宋" w:hAnsi="仿宋" w:eastAsia="仿宋" w:cs="Times New Roman"/>
          <w:sz w:val="28"/>
          <w:szCs w:val="28"/>
        </w:rPr>
        <w:t xml:space="preserve">0517-83998006咨询获取。</w:t>
      </w:r>
      <w:r>
        <w:rPr>
          <w:rFonts w:hint="eastAsia" w:ascii="黑体" w:hAnsi="黑体" w:eastAsia="黑体" w:cs="Times New Roman"/>
          <w:b/>
          <w:bCs/>
          <w:sz w:val="36"/>
        </w:rPr>
      </w:r>
      <w:r/>
    </w:p>
    <w:p>
      <w:pPr>
        <w:pStyle w:val="682"/>
        <w:ind w:firstLine="560"/>
        <w:spacing w:line="520" w:lineRule="exact"/>
        <w:rPr>
          <w:rFonts w:ascii="仿宋" w:hAnsi="仿宋" w:eastAsia="仿宋" w:cs="Times New Roman"/>
          <w:sz w:val="28"/>
          <w:szCs w:val="28"/>
        </w:rPr>
      </w:pPr>
      <w:r>
        <w:rPr>
          <w:rFonts w:hint="eastAsia" w:ascii="仿宋" w:hAnsi="仿宋" w:eastAsia="仿宋" w:cs="Times New Roman"/>
          <w:sz w:val="28"/>
          <w:szCs w:val="28"/>
          <w:lang w:val="en-US" w:eastAsia="zh-CN"/>
        </w:rPr>
        <w:t xml:space="preserve">十</w:t>
      </w:r>
      <w:r>
        <w:rPr>
          <w:rFonts w:ascii="仿宋" w:hAnsi="仿宋" w:eastAsia="仿宋" w:cs="Times New Roman"/>
          <w:sz w:val="28"/>
          <w:szCs w:val="28"/>
        </w:rPr>
        <w:t xml:space="preserve">、商务部分</w:t>
      </w:r>
      <w:r>
        <w:rPr>
          <w:rFonts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w:t>
      </w:r>
      <w:r>
        <w:rPr>
          <w:rFonts w:hint="eastAsia" w:ascii="仿宋" w:hAnsi="仿宋" w:eastAsia="仿宋" w:cs="Times New Roman"/>
          <w:color w:val="000000"/>
          <w:sz w:val="28"/>
          <w:szCs w:val="28"/>
        </w:rPr>
        <w:t xml:space="preserve">本项目投标人中标合同期限为</w:t>
      </w:r>
      <w:r>
        <w:rPr>
          <w:rFonts w:hint="eastAsia" w:ascii="仿宋" w:hAnsi="仿宋" w:eastAsia="仿宋" w:cs="Times New Roman"/>
          <w:color w:val="000000"/>
          <w:sz w:val="28"/>
          <w:szCs w:val="28"/>
          <w:lang w:val="en-US" w:eastAsia="zh-CN"/>
        </w:rPr>
        <w:t xml:space="preserve">三</w:t>
      </w:r>
      <w:r>
        <w:rPr>
          <w:rFonts w:hint="eastAsia" w:ascii="仿宋" w:hAnsi="仿宋" w:eastAsia="仿宋" w:cs="Times New Roman"/>
          <w:color w:val="000000"/>
          <w:sz w:val="28"/>
          <w:szCs w:val="28"/>
        </w:rPr>
        <w:t xml:space="preserve">年，合同期间分</w:t>
      </w:r>
      <w:r>
        <w:rPr>
          <w:rFonts w:hint="eastAsia" w:ascii="仿宋" w:hAnsi="仿宋" w:eastAsia="仿宋" w:cs="Times New Roman"/>
          <w:color w:val="000000"/>
          <w:sz w:val="28"/>
          <w:szCs w:val="28"/>
          <w:lang w:val="en-US" w:eastAsia="zh-CN"/>
        </w:rPr>
        <w:t xml:space="preserve">3</w:t>
      </w:r>
      <w:r>
        <w:rPr>
          <w:rFonts w:hint="eastAsia" w:ascii="仿宋" w:hAnsi="仿宋" w:eastAsia="仿宋" w:cs="Times New Roman"/>
          <w:color w:val="000000"/>
          <w:sz w:val="28"/>
          <w:szCs w:val="28"/>
        </w:rPr>
        <w:t xml:space="preserve">个保单年度。</w:t>
      </w:r>
      <w:r>
        <w:rPr>
          <w:rFonts w:hint="eastAsia" w:ascii="仿宋" w:hAnsi="仿宋" w:eastAsia="仿宋" w:cs="Times New Roman"/>
          <w:sz w:val="28"/>
          <w:szCs w:val="28"/>
        </w:rPr>
        <w:t xml:space="preserve">中标人需按采购人要求做好大病保险服务衔接工作。如大病保险服务期限结束，采购人尚未招标确定新的大病保险承办商业保险机构，中标人需继续帮助采购人做好大病保险衔接工作。</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2、服务地点:采购人指定</w:t>
      </w:r>
      <w:r>
        <w:rPr>
          <w:rFonts w:hint="eastAsia" w:ascii="仿宋" w:hAnsi="仿宋" w:eastAsia="仿宋" w:cs="Times New Roman"/>
          <w:sz w:val="28"/>
          <w:szCs w:val="28"/>
        </w:rPr>
      </w:r>
      <w:r/>
    </w:p>
    <w:p>
      <w:pPr>
        <w:pStyle w:val="682"/>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3、付款方式: 采购人于合同签订之日起按合同约定向中标人拨付保费，每两个自然月拨付一次，中标人应出具相应合法有效的票据凭证。</w:t>
      </w:r>
      <w:r>
        <w:rPr>
          <w:rFonts w:hint="eastAsia" w:ascii="仿宋" w:hAnsi="仿宋" w:eastAsia="仿宋" w:cs="Times New Roman"/>
          <w:sz w:val="28"/>
          <w:szCs w:val="28"/>
        </w:rPr>
      </w:r>
      <w:r/>
    </w:p>
    <w:p>
      <w:pPr>
        <w:pStyle w:val="682"/>
        <w:jc w:val="center"/>
        <w:keepLines w:val="0"/>
        <w:keepNext w:val="0"/>
        <w:pageBreakBefore w:val="0"/>
        <w:spacing w:line="400" w:lineRule="exact"/>
        <w:widowControl w:val="off"/>
        <w:rPr>
          <w:rFonts w:hint="eastAsia" w:ascii="黑体" w:hAnsi="黑体" w:eastAsia="黑体"/>
          <w:b/>
          <w:bCs/>
          <w:sz w:val="36"/>
        </w:rPr>
        <w:sectPr>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682"/>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706"/>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7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82"/>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7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6"/>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6"/>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2"/>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82"/>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8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82"/>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82"/>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706"/>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70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7"/>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82"/>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82"/>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w:t>
      </w:r>
      <w:r>
        <w:rPr>
          <w:rFonts w:hint="eastAsia" w:ascii="仿宋" w:hAnsi="仿宋" w:eastAsia="仿宋" w:cs="Times New Roman"/>
          <w:sz w:val="28"/>
          <w:szCs w:val="28"/>
        </w:rPr>
        <w:t xml:space="preserve">件第二章第15条的</w:t>
      </w:r>
      <w:r>
        <w:rPr>
          <w:rFonts w:hint="eastAsia" w:ascii="仿宋" w:hAnsi="仿宋" w:eastAsia="仿宋"/>
          <w:sz w:val="28"/>
          <w:szCs w:val="28"/>
        </w:rPr>
        <w:t xml:space="preserve">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7"/>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7"/>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7"/>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82"/>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706"/>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82"/>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8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82"/>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82"/>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82"/>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82"/>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w:t>
            </w:r>
            <w:r>
              <w:rPr>
                <w:rFonts w:hint="eastAsia" w:ascii="仿宋" w:hAnsi="仿宋" w:eastAsia="仿宋"/>
                <w:sz w:val="28"/>
                <w:szCs w:val="28"/>
              </w:rPr>
              <w:t xml:space="preserve">服务</w:t>
            </w:r>
            <w:r>
              <w:rPr>
                <w:rFonts w:hint="eastAsia" w:ascii="仿宋" w:hAnsi="仿宋" w:eastAsia="仿宋"/>
                <w:sz w:val="28"/>
                <w:szCs w:val="28"/>
              </w:rPr>
            </w:r>
            <w:r/>
          </w:p>
        </w:tc>
        <w:tc>
          <w:tcPr>
            <w:tcW w:w="6759" w:type="dxa"/>
            <w:vAlign w:val="center"/>
            <w:textDirection w:val="lrTb"/>
            <w:noWrap w:val="false"/>
          </w:tcPr>
          <w:p>
            <w:pPr>
              <w:pStyle w:val="682"/>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777"/>
        <w:ind w:firstLine="2875"/>
        <w:keepLines w:val="0"/>
        <w:keepNext w:val="0"/>
        <w:pageBreakBefore w:val="0"/>
        <w:rPr>
          <w:rFonts w:hint="eastAsia" w:hAnsi="宋体"/>
          <w:b/>
          <w:sz w:val="32"/>
          <w:szCs w:val="32"/>
        </w:rPr>
        <w:sectPr>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Start w:id="36" w:name="_Toc157775468"/>
      <w:r>
        <w:rPr>
          <w:rFonts w:hint="eastAsia" w:hAnsi="宋体"/>
          <w:b/>
          <w:sz w:val="32"/>
          <w:szCs w:val="32"/>
        </w:rPr>
      </w:r>
      <w:r/>
    </w:p>
    <w:p>
      <w:pPr>
        <w:pStyle w:val="777"/>
        <w:keepLines w:val="0"/>
        <w:keepNext w:val="0"/>
        <w:pageBreakBefore w:val="0"/>
        <w:rPr>
          <w:rFonts w:hint="eastAsia" w:hAnsi="宋体"/>
          <w:b/>
          <w:sz w:val="32"/>
          <w:szCs w:val="32"/>
        </w:rPr>
        <w:outlineLvl w:val="9"/>
      </w:pPr>
      <w:r>
        <w:rPr>
          <w:rFonts w:hint="eastAsia" w:hAnsi="宋体"/>
          <w:b/>
          <w:sz w:val="32"/>
          <w:szCs w:val="32"/>
        </w:rPr>
      </w:r>
      <w:r/>
    </w:p>
    <w:p>
      <w:pPr>
        <w:pStyle w:val="777"/>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777"/>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843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80"/>
        <w:gridCol w:w="1365"/>
        <w:gridCol w:w="1290"/>
        <w:gridCol w:w="1485"/>
        <w:gridCol w:w="1455"/>
      </w:tblGrid>
      <w:tr>
        <w:trPr>
          <w:trHeight w:val="544"/>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eastAsia="zh-CN"/>
              </w:rPr>
              <w:t xml:space="preserve">服务</w:t>
            </w:r>
            <w:r>
              <w:rPr>
                <w:rFonts w:ascii="仿宋" w:hAnsi="仿宋" w:eastAsia="仿宋"/>
                <w:sz w:val="24"/>
                <w:szCs w:val="24"/>
              </w:rPr>
              <w:t xml:space="preserve">期</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88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36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8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777"/>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rPr>
                <w:rFonts w:ascii="仿宋" w:hAnsi="仿宋" w:eastAsia="仿宋"/>
                <w:sz w:val="24"/>
                <w:szCs w:val="24"/>
              </w:rPr>
            </w:r>
            <w:r/>
          </w:p>
        </w:tc>
      </w:tr>
    </w:tbl>
    <w:p>
      <w:pPr>
        <w:pStyle w:val="777"/>
        <w:ind w:firstLine="560"/>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777"/>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w:t>
      </w:r>
      <w:r>
        <w:rPr>
          <w:rFonts w:ascii="仿宋" w:hAnsi="仿宋" w:eastAsia="仿宋"/>
          <w:sz w:val="28"/>
          <w:szCs w:val="24"/>
          <w:highlight w:val="none"/>
        </w:rPr>
        <w:t xml:space="preserve">表”中“投标总报价”数额一致。</w:t>
      </w:r>
      <w:r>
        <w:rPr>
          <w:rFonts w:ascii="仿宋" w:hAnsi="仿宋" w:eastAsia="仿宋"/>
          <w:sz w:val="28"/>
          <w:szCs w:val="24"/>
          <w:highlight w:val="none"/>
        </w:rPr>
      </w:r>
      <w:r/>
    </w:p>
    <w:p>
      <w:pPr>
        <w:pStyle w:val="777"/>
        <w:ind w:firstLine="691"/>
        <w:keepLines w:val="0"/>
        <w:keepNext w:val="0"/>
        <w:pageBreakBefore w:val="0"/>
        <w:spacing w:line="440" w:lineRule="exact"/>
        <w:rPr>
          <w:rFonts w:hint="eastAsia" w:ascii="仿宋" w:hAnsi="仿宋" w:eastAsia="仿宋" w:cs="Times New Roman"/>
          <w:color w:val="000000"/>
          <w:sz w:val="28"/>
          <w:szCs w:val="24"/>
          <w:highlight w:val="none"/>
          <w:lang w:val="en-US" w:eastAsia="zh-CN"/>
        </w:rPr>
        <w:outlineLvl w:val="9"/>
      </w:pPr>
      <w:r>
        <w:rPr>
          <w:rFonts w:hint="eastAsia" w:ascii="仿宋" w:hAnsi="仿宋" w:eastAsia="仿宋" w:cs="Times New Roman"/>
          <w:color w:val="000000"/>
          <w:sz w:val="28"/>
          <w:szCs w:val="24"/>
          <w:highlight w:val="none"/>
          <w:lang w:val="en-US" w:eastAsia="zh-CN"/>
        </w:rPr>
        <w:t xml:space="preserve">3、</w:t>
      </w:r>
      <w:r>
        <w:rPr>
          <w:rFonts w:hint="eastAsia" w:ascii="仿宋" w:hAnsi="仿宋" w:eastAsia="仿宋" w:cs="Times New Roman"/>
          <w:color w:val="000000"/>
          <w:sz w:val="28"/>
          <w:szCs w:val="24"/>
          <w:highlight w:val="none"/>
          <w:lang w:eastAsia="zh-CN"/>
        </w:rPr>
        <w:t xml:space="preserve">综合管理成本均应包括除人员成本以外的全部管理和服务的费用(指完成该服务项目所需的固定资产投入、办公费、培训费、交通工具、材料费、合理利润、税收等相关的所有费用，中标后采购人不再支付除人员成本以外的任何管理费用。</w:t>
      </w:r>
      <w:r>
        <w:rPr>
          <w:rFonts w:hint="eastAsia" w:ascii="仿宋" w:hAnsi="仿宋" w:eastAsia="仿宋" w:cs="Times New Roman"/>
          <w:color w:val="000000"/>
          <w:sz w:val="28"/>
          <w:szCs w:val="24"/>
          <w:highlight w:val="none"/>
          <w:lang w:val="en-US" w:eastAsia="zh-CN"/>
        </w:rPr>
      </w:r>
      <w:r/>
    </w:p>
    <w:p>
      <w:pPr>
        <w:pStyle w:val="777"/>
        <w:jc w:val="both"/>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r>
      <w:r/>
    </w:p>
    <w:p>
      <w:pPr>
        <w:pStyle w:val="777"/>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w:t>
      </w:r>
      <w:r>
        <w:rPr>
          <w:rFonts w:hint="eastAsia" w:ascii="仿宋" w:hAnsi="仿宋" w:eastAsia="仿宋"/>
          <w:b/>
          <w:sz w:val="32"/>
          <w:lang w:eastAsia="zh-CN"/>
        </w:rPr>
        <w:t xml:space="preserve">技术</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服务及相关内容</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682"/>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82"/>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82"/>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682"/>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7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7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7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7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778"/>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682"/>
        <w:ind w:firstLine="2875"/>
        <w:spacing w:line="440" w:lineRule="exact"/>
        <w:rPr>
          <w:rFonts w:ascii="仿宋" w:hAnsi="仿宋" w:eastAsia="仿宋" w:cs="Times New Roman"/>
          <w:b/>
          <w:sz w:val="32"/>
          <w:szCs w:val="32"/>
        </w:rPr>
      </w:pPr>
      <w:r>
        <w:rPr>
          <w:rFonts w:hint="eastAsia" w:ascii="仿宋" w:hAnsi="仿宋" w:eastAsia="仿宋"/>
          <w:b/>
          <w:bCs/>
          <w:sz w:val="32"/>
        </w:rPr>
        <w:t xml:space="preserve">五、</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6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6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6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6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682"/>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6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682"/>
              <w:jc w:val="left"/>
              <w:spacing w:line="520" w:lineRule="exact"/>
              <w:tabs>
                <w:tab w:val="left" w:pos="497" w:leader="none"/>
              </w:tabs>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工作经历</w:t>
            </w:r>
            <w:r>
              <w:rPr>
                <w:rFonts w:ascii="仿宋" w:hAnsi="仿宋" w:eastAsia="仿宋" w:cs="仿宋"/>
                <w:sz w:val="28"/>
                <w:szCs w:val="28"/>
                <w:lang w:val="en-US" w:eastAsia="zh-CN"/>
              </w:rPr>
            </w:r>
            <w:r/>
          </w:p>
        </w:tc>
        <w:tc>
          <w:tcPr>
            <w:tcW w:w="1344" w:type="dxa"/>
            <w:vAlign w:val="center"/>
            <w:textDirection w:val="lrTb"/>
            <w:noWrap w:val="false"/>
          </w:tcPr>
          <w:p>
            <w:pPr>
              <w:pStyle w:val="682"/>
              <w:jc w:val="both"/>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682"/>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82"/>
              <w:spacing w:line="520" w:lineRule="exact"/>
              <w:rPr>
                <w:rFonts w:ascii="仿宋" w:hAnsi="仿宋" w:eastAsia="仿宋" w:cs="仿宋"/>
                <w:sz w:val="28"/>
                <w:szCs w:val="28"/>
              </w:rPr>
            </w:pPr>
            <w:r>
              <w:rPr>
                <w:rFonts w:ascii="仿宋" w:hAnsi="仿宋" w:eastAsia="仿宋" w:cs="仿宋"/>
                <w:sz w:val="28"/>
                <w:szCs w:val="28"/>
              </w:rPr>
            </w:r>
            <w:r/>
          </w:p>
        </w:tc>
      </w:tr>
    </w:tbl>
    <w:p>
      <w:pPr>
        <w:pStyle w:val="682"/>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682"/>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682"/>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682"/>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682"/>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706"/>
        <w:ind w:firstLine="0"/>
        <w:jc w:val="left"/>
        <w:keepLines w:val="0"/>
        <w:keepNext w:val="0"/>
        <w:pageBreakBefore w:val="0"/>
        <w:spacing w:line="520" w:lineRule="exact"/>
        <w:widowControl w:val="off"/>
        <w:rPr>
          <w:rFonts w:hint="eastAsia" w:ascii="仿宋" w:hAnsi="仿宋" w:eastAsia="仿宋" w:cs="Times New Roman"/>
          <w:sz w:val="28"/>
        </w:rPr>
        <w:outlineLvl w:val="9"/>
      </w:pPr>
      <w:r>
        <w:rPr>
          <w:rFonts w:hint="eastAsia" w:ascii="仿宋" w:hAnsi="仿宋" w:eastAsia="仿宋" w:cs="Times New Roman"/>
          <w:sz w:val="28"/>
        </w:rPr>
        <w:t xml:space="preserve">注：本表填写第五章《项目采购需求》四、资源配置内容（一）人力资源配置中“1.项目负责人”和“2.专职管理人员”；“3.合署经办人员”非必填。</w:t>
      </w:r>
      <w:bookmarkEnd w:id="36"/>
      <w:r>
        <w:rPr>
          <w:rFonts w:hint="eastAsia" w:ascii="仿宋" w:hAnsi="仿宋" w:eastAsia="仿宋" w:cs="Times New Roman"/>
          <w:sz w:val="28"/>
        </w:rPr>
      </w:r>
      <w:r/>
    </w:p>
    <w:p>
      <w:pPr>
        <w:pStyle w:val="706"/>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706"/>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706"/>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06"/>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2"/>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2"/>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82"/>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82"/>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8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82"/>
        <w:ind w:firstLine="70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应为保险总公司，如是投标人授权其地市级及以上分公司（支公司）等机构代表投标人参加投标的，提供保险总公司出具的参加本项目投标的授权书且授权书中必须具有该被授权的地市级及以上分公司（支公司）等机构获得保险总公司同意开展大病保险业务的批准的说明（格式自定并加盖保险总公司电子签章，必须提供）；</w:t>
      </w:r>
      <w:r>
        <w:rPr>
          <w:rFonts w:hint="eastAsia" w:ascii="仿宋" w:hAnsi="仿宋" w:eastAsia="仿宋" w:cs="Times New Roman"/>
          <w:sz w:val="28"/>
          <w:szCs w:val="28"/>
        </w:rPr>
      </w:r>
      <w:r/>
    </w:p>
    <w:p>
      <w:pPr>
        <w:pStyle w:val="682"/>
        <w:ind w:firstLine="70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（2）投标人须具有国家金融监督管理局颁发的经营保险业务许可证（扫描件加盖投标人电子签章，必须提供）；</w:t>
      </w:r>
      <w:r>
        <w:rPr>
          <w:rFonts w:hint="eastAsia" w:ascii="仿宋" w:hAnsi="仿宋" w:eastAsia="仿宋" w:cs="Times New Roman"/>
          <w:sz w:val="28"/>
          <w:szCs w:val="28"/>
        </w:rPr>
      </w:r>
      <w:r/>
    </w:p>
    <w:p>
      <w:pPr>
        <w:pStyle w:val="682"/>
        <w:ind w:firstLine="70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（3）投标人或其所属的省级公司已经取得国家金融监督管理总局江苏监管局核准的在江苏省内开展大病保险业务的资质；（提供保险监督管理机构官网截图或批准文件扫描件加盖投标人电子签章，必须提供）</w:t>
      </w:r>
      <w:r>
        <w:rPr>
          <w:rFonts w:hint="eastAsia" w:ascii="仿宋" w:hAnsi="仿宋" w:eastAsia="仿宋" w:cs="Times New Roman"/>
          <w:sz w:val="28"/>
          <w:szCs w:val="28"/>
        </w:rPr>
      </w:r>
      <w:r/>
    </w:p>
    <w:p>
      <w:pPr>
        <w:pStyle w:val="682"/>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82"/>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82"/>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82"/>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82"/>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82"/>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82"/>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82"/>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82"/>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82"/>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82"/>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7"/>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82"/>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82"/>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82"/>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82"/>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82"/>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2"/>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82"/>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82"/>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82"/>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82"/>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93"/>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2"/>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82"/>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82"/>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82"/>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82"/>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82"/>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2"/>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82"/>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82"/>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93"/>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93"/>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9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9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93"/>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82"/>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93"/>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9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9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9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9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93"/>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82"/>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2"/>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2"/>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93"/>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25"/>
      </w:rPr>
      <w:framePr w:wrap="around" w:vAnchor="text" w:hAnchor="margin" w:xAlign="center" w:y="1"/>
    </w:pPr>
    <w:r>
      <w:fldChar w:fldCharType="begin"/>
    </w:r>
    <w:r>
      <w:rPr>
        <w:rStyle w:val="725"/>
      </w:rPr>
      <w:instrText xml:space="preserve">PAGE  </w:instrText>
    </w:r>
    <w:r>
      <w:fldChar w:fldCharType="end"/>
    </w:r>
    <w:r>
      <w:rPr>
        <w:rStyle w:val="725"/>
      </w:rPr>
    </w:r>
    <w:r/>
  </w:p>
  <w:p>
    <w:pPr>
      <w:pStyle w:val="7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68"/>
      <w:isLgl w:val="false"/>
      <w:suff w:val="nothing"/>
      <w:lvlText w:val="第%1章"/>
      <w:lvlJc w:val="left"/>
      <w:pPr>
        <w:pStyle w:val="682"/>
        <w:ind w:left="640" w:firstLine="0"/>
      </w:pPr>
      <w:rPr>
        <w:rFonts w:hint="eastAsia"/>
      </w:rPr>
    </w:lvl>
    <w:lvl w:ilvl="1">
      <w:start w:val="1"/>
      <w:numFmt w:val="decimal"/>
      <w:isLgl w:val="false"/>
      <w:suff w:val="nothing"/>
      <w:lvlText w:val=""/>
      <w:lvlJc w:val="left"/>
      <w:pPr>
        <w:pStyle w:val="682"/>
        <w:ind w:left="640" w:firstLine="0"/>
      </w:pPr>
      <w:rPr>
        <w:rFonts w:hint="eastAsia"/>
      </w:rPr>
    </w:lvl>
    <w:lvl w:ilvl="2">
      <w:start w:val="1"/>
      <w:numFmt w:val="decimal"/>
      <w:isLgl w:val="false"/>
      <w:suff w:val="nothing"/>
      <w:lvlText w:val=""/>
      <w:lvlJc w:val="left"/>
      <w:pPr>
        <w:pStyle w:val="682"/>
        <w:ind w:left="640" w:firstLine="0"/>
      </w:pPr>
      <w:rPr>
        <w:rFonts w:hint="eastAsia"/>
      </w:rPr>
    </w:lvl>
    <w:lvl w:ilvl="3">
      <w:start w:val="1"/>
      <w:numFmt w:val="decimal"/>
      <w:isLgl w:val="false"/>
      <w:suff w:val="nothing"/>
      <w:lvlText w:val=""/>
      <w:lvlJc w:val="left"/>
      <w:pPr>
        <w:pStyle w:val="682"/>
        <w:ind w:left="640" w:firstLine="0"/>
      </w:pPr>
      <w:rPr>
        <w:rFonts w:hint="eastAsia"/>
      </w:rPr>
    </w:lvl>
    <w:lvl w:ilvl="4">
      <w:start w:val="1"/>
      <w:numFmt w:val="decimal"/>
      <w:isLgl w:val="false"/>
      <w:suff w:val="nothing"/>
      <w:lvlText w:val=""/>
      <w:lvlJc w:val="left"/>
      <w:pPr>
        <w:pStyle w:val="682"/>
        <w:ind w:left="640" w:firstLine="0"/>
      </w:pPr>
      <w:rPr>
        <w:rFonts w:hint="eastAsia"/>
      </w:rPr>
    </w:lvl>
    <w:lvl w:ilvl="5">
      <w:start w:val="1"/>
      <w:numFmt w:val="decimal"/>
      <w:isLgl w:val="false"/>
      <w:suff w:val="nothing"/>
      <w:lvlText w:val=""/>
      <w:lvlJc w:val="left"/>
      <w:pPr>
        <w:pStyle w:val="682"/>
        <w:ind w:left="640" w:firstLine="0"/>
      </w:pPr>
      <w:rPr>
        <w:rFonts w:hint="eastAsia"/>
      </w:rPr>
    </w:lvl>
    <w:lvl w:ilvl="6">
      <w:start w:val="1"/>
      <w:numFmt w:val="decimal"/>
      <w:isLgl w:val="false"/>
      <w:suff w:val="nothing"/>
      <w:lvlText w:val=""/>
      <w:lvlJc w:val="left"/>
      <w:pPr>
        <w:pStyle w:val="682"/>
        <w:ind w:left="640" w:firstLine="0"/>
      </w:pPr>
      <w:rPr>
        <w:rFonts w:hint="eastAsia"/>
      </w:rPr>
    </w:lvl>
    <w:lvl w:ilvl="7">
      <w:start w:val="1"/>
      <w:numFmt w:val="decimal"/>
      <w:isLgl w:val="false"/>
      <w:suff w:val="nothing"/>
      <w:lvlText w:val=""/>
      <w:lvlJc w:val="left"/>
      <w:pPr>
        <w:pStyle w:val="682"/>
        <w:ind w:left="640" w:firstLine="0"/>
      </w:pPr>
      <w:rPr>
        <w:rFonts w:hint="eastAsia"/>
      </w:rPr>
    </w:lvl>
    <w:lvl w:ilvl="8">
      <w:start w:val="1"/>
      <w:numFmt w:val="decimal"/>
      <w:isLgl w:val="false"/>
      <w:suff w:val="nothing"/>
      <w:lvlText w:val=""/>
      <w:lvlJc w:val="left"/>
      <w:pPr>
        <w:pStyle w:val="682"/>
        <w:ind w:left="640" w:firstLine="0"/>
      </w:pPr>
      <w:rPr>
        <w:rFonts w:hint="eastAsia"/>
      </w:rPr>
    </w:lvl>
  </w:abstractNum>
  <w:abstractNum w:abstractNumId="4">
    <w:multiLevelType w:val="hybridMultilevel"/>
    <w:lvl w:ilvl="0">
      <w:start w:val="2"/>
      <w:numFmt w:val="decimal"/>
      <w:isLgl w:val="false"/>
      <w:suff w:val="nothing"/>
      <w:lvlText w:val="%1、"/>
      <w:lvlJc w:val="left"/>
      <w:pPr>
        <w:pStyle w:val="68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58"/>
      <w:isLgl w:val="false"/>
      <w:suff w:val="tab"/>
      <w:lvlText w:val="%1、"/>
      <w:lvlJc w:val="left"/>
      <w:pPr>
        <w:pStyle w:val="682"/>
        <w:ind w:left="420" w:hanging="420"/>
        <w:tabs>
          <w:tab w:val="num" w:pos="420" w:leader="none"/>
        </w:tabs>
      </w:pPr>
      <w:rPr>
        <w:rFonts w:hint="eastAsia"/>
        <w:b/>
        <w:i w:val="0"/>
      </w:rPr>
    </w:lvl>
    <w:lvl w:ilvl="1">
      <w:start w:val="1"/>
      <w:numFmt w:val="lowerLetter"/>
      <w:isLgl w:val="false"/>
      <w:suff w:val="tab"/>
      <w:lvlText w:val="%2)"/>
      <w:lvlJc w:val="left"/>
      <w:pPr>
        <w:pStyle w:val="682"/>
        <w:ind w:left="840" w:hanging="420"/>
        <w:tabs>
          <w:tab w:val="num" w:pos="840" w:leader="none"/>
        </w:tabs>
      </w:pPr>
    </w:lvl>
    <w:lvl w:ilvl="2">
      <w:start w:val="1"/>
      <w:numFmt w:val="lowerRoman"/>
      <w:isLgl w:val="false"/>
      <w:suff w:val="tab"/>
      <w:lvlText w:val="%3."/>
      <w:lvlJc w:val="right"/>
      <w:pPr>
        <w:pStyle w:val="682"/>
        <w:ind w:left="1260" w:hanging="420"/>
        <w:tabs>
          <w:tab w:val="num" w:pos="1260" w:leader="none"/>
        </w:tabs>
      </w:pPr>
    </w:lvl>
    <w:lvl w:ilvl="3">
      <w:start w:val="1"/>
      <w:numFmt w:val="decimal"/>
      <w:isLgl w:val="false"/>
      <w:suff w:val="tab"/>
      <w:lvlText w:val="%4."/>
      <w:lvlJc w:val="left"/>
      <w:pPr>
        <w:pStyle w:val="682"/>
        <w:ind w:left="1680" w:hanging="420"/>
        <w:tabs>
          <w:tab w:val="num" w:pos="1680" w:leader="none"/>
        </w:tabs>
      </w:pPr>
    </w:lvl>
    <w:lvl w:ilvl="4">
      <w:start w:val="1"/>
      <w:numFmt w:val="lowerLetter"/>
      <w:isLgl w:val="false"/>
      <w:suff w:val="tab"/>
      <w:lvlText w:val="%5)"/>
      <w:lvlJc w:val="left"/>
      <w:pPr>
        <w:pStyle w:val="682"/>
        <w:ind w:left="2100" w:hanging="420"/>
        <w:tabs>
          <w:tab w:val="num" w:pos="2100" w:leader="none"/>
        </w:tabs>
      </w:pPr>
    </w:lvl>
    <w:lvl w:ilvl="5">
      <w:start w:val="1"/>
      <w:numFmt w:val="lowerRoman"/>
      <w:isLgl w:val="false"/>
      <w:suff w:val="tab"/>
      <w:lvlText w:val="%6."/>
      <w:lvlJc w:val="right"/>
      <w:pPr>
        <w:pStyle w:val="682"/>
        <w:ind w:left="2520" w:hanging="420"/>
        <w:tabs>
          <w:tab w:val="num" w:pos="2520" w:leader="none"/>
        </w:tabs>
      </w:pPr>
    </w:lvl>
    <w:lvl w:ilvl="6">
      <w:start w:val="1"/>
      <w:numFmt w:val="decimal"/>
      <w:isLgl w:val="false"/>
      <w:suff w:val="tab"/>
      <w:lvlText w:val="%7."/>
      <w:lvlJc w:val="left"/>
      <w:pPr>
        <w:pStyle w:val="682"/>
        <w:ind w:left="2940" w:hanging="420"/>
        <w:tabs>
          <w:tab w:val="num" w:pos="2940" w:leader="none"/>
        </w:tabs>
      </w:pPr>
    </w:lvl>
    <w:lvl w:ilvl="7">
      <w:start w:val="1"/>
      <w:numFmt w:val="lowerLetter"/>
      <w:isLgl w:val="false"/>
      <w:suff w:val="tab"/>
      <w:lvlText w:val="%8)"/>
      <w:lvlJc w:val="left"/>
      <w:pPr>
        <w:pStyle w:val="682"/>
        <w:ind w:left="3360" w:hanging="420"/>
        <w:tabs>
          <w:tab w:val="num" w:pos="3360" w:leader="none"/>
        </w:tabs>
      </w:pPr>
    </w:lvl>
    <w:lvl w:ilvl="8">
      <w:start w:val="1"/>
      <w:numFmt w:val="lowerRoman"/>
      <w:isLgl w:val="false"/>
      <w:suff w:val="tab"/>
      <w:lvlText w:val="%9."/>
      <w:lvlJc w:val="right"/>
      <w:pPr>
        <w:pStyle w:val="682"/>
        <w:ind w:left="3780" w:hanging="420"/>
        <w:tabs>
          <w:tab w:val="num" w:pos="3780" w:leader="none"/>
        </w:tabs>
      </w:pPr>
    </w:lvl>
  </w:abstractNum>
  <w:abstractNum w:abstractNumId="6">
    <w:multiLevelType w:val="hybridMultilevel"/>
    <w:lvl w:ilvl="0">
      <w:start w:val="2"/>
      <w:numFmt w:val="chineseCountingThousand"/>
      <w:pStyle w:val="764"/>
      <w:isLgl w:val="false"/>
      <w:suff w:val="nothing"/>
      <w:lvlText w:val="第%1部分"/>
      <w:lvlJc w:val="center"/>
      <w:pPr>
        <w:pStyle w:val="682"/>
        <w:ind w:left="432" w:firstLine="288"/>
      </w:pPr>
      <w:rPr>
        <w:rFonts w:hint="eastAsia"/>
        <w:sz w:val="28"/>
        <w:szCs w:val="28"/>
        <w:lang w:val="en-US"/>
      </w:rPr>
    </w:lvl>
    <w:lvl w:ilvl="1">
      <w:start w:val="1"/>
      <w:numFmt w:val="chineseCountingThousand"/>
      <w:isLgl w:val="false"/>
      <w:suff w:val="nothing"/>
      <w:lvlText w:val="%2、"/>
      <w:lvlJc w:val="left"/>
      <w:pPr>
        <w:pStyle w:val="682"/>
        <w:ind w:left="360" w:firstLine="0"/>
      </w:pPr>
      <w:rPr>
        <w:rFonts w:hint="eastAsia"/>
        <w:lang w:val="en-US"/>
      </w:rPr>
    </w:lvl>
    <w:lvl w:ilvl="2">
      <w:start w:val="1"/>
      <w:numFmt w:val="chineseCountingThousand"/>
      <w:isLgl w:val="false"/>
      <w:suff w:val="nothing"/>
      <w:lvlText w:val="(%3)"/>
      <w:lvlJc w:val="left"/>
      <w:pPr>
        <w:pStyle w:val="682"/>
        <w:ind w:left="0" w:firstLine="0"/>
      </w:pPr>
      <w:rPr>
        <w:rFonts w:hint="eastAsia"/>
      </w:rPr>
    </w:lvl>
    <w:lvl w:ilvl="3">
      <w:start w:val="1"/>
      <w:numFmt w:val="decimal"/>
      <w:isLgl w:val="false"/>
      <w:suff w:val="nothing"/>
      <w:lvlText w:val="%4、"/>
      <w:lvlJc w:val="left"/>
      <w:pPr>
        <w:pStyle w:val="682"/>
        <w:ind w:left="0" w:firstLine="0"/>
      </w:pPr>
      <w:rPr>
        <w:rFonts w:hint="eastAsia"/>
      </w:rPr>
    </w:lvl>
    <w:lvl w:ilvl="4">
      <w:start w:val="1"/>
      <w:numFmt w:val="upperLetter"/>
      <w:isLgl w:val="false"/>
      <w:suff w:val="nothing"/>
      <w:lvlText w:val="%5、"/>
      <w:lvlJc w:val="left"/>
      <w:pPr>
        <w:pStyle w:val="682"/>
        <w:ind w:left="0" w:firstLine="0"/>
      </w:pPr>
      <w:rPr>
        <w:rFonts w:hint="eastAsia"/>
      </w:rPr>
    </w:lvl>
    <w:lvl w:ilvl="5">
      <w:start w:val="1"/>
      <w:numFmt w:val="decimal"/>
      <w:isLgl w:val="false"/>
      <w:suff w:val="nothing"/>
      <w:lvlText w:val=""/>
      <w:lvlJc w:val="left"/>
      <w:pPr>
        <w:pStyle w:val="682"/>
        <w:ind w:left="0" w:firstLine="0"/>
      </w:pPr>
      <w:rPr>
        <w:rFonts w:hint="eastAsia"/>
      </w:rPr>
    </w:lvl>
    <w:lvl w:ilvl="6">
      <w:start w:val="1"/>
      <w:numFmt w:val="decimal"/>
      <w:isLgl w:val="false"/>
      <w:suff w:val="nothing"/>
      <w:lvlText w:val=""/>
      <w:lvlJc w:val="left"/>
      <w:pPr>
        <w:pStyle w:val="682"/>
        <w:ind w:left="0" w:firstLine="0"/>
      </w:pPr>
      <w:rPr>
        <w:rFonts w:hint="eastAsia"/>
      </w:rPr>
    </w:lvl>
    <w:lvl w:ilvl="7">
      <w:start w:val="1"/>
      <w:numFmt w:val="decimal"/>
      <w:isLgl w:val="false"/>
      <w:suff w:val="nothing"/>
      <w:lvlText w:val=""/>
      <w:lvlJc w:val="left"/>
      <w:pPr>
        <w:pStyle w:val="682"/>
        <w:ind w:left="0" w:firstLine="0"/>
      </w:pPr>
      <w:rPr>
        <w:rFonts w:hint="eastAsia"/>
      </w:rPr>
    </w:lvl>
    <w:lvl w:ilvl="8">
      <w:start w:val="1"/>
      <w:numFmt w:val="decimal"/>
      <w:isLgl w:val="false"/>
      <w:suff w:val="nothing"/>
      <w:lvlText w:val=""/>
      <w:lvlJc w:val="left"/>
      <w:pPr>
        <w:pStyle w:val="682"/>
        <w:ind w:left="0" w:firstLine="0"/>
      </w:pPr>
      <w:rPr>
        <w:rFonts w:hint="eastAsia"/>
      </w:rPr>
    </w:lvl>
  </w:abstractNum>
  <w:abstractNum w:abstractNumId="7">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num w:numId="1">
    <w:abstractNumId w:val="5"/>
  </w:num>
  <w:num w:numId="2">
    <w:abstractNumId w:val="6"/>
  </w:num>
  <w:num w:numId="3">
    <w:abstractNumId w:val="3"/>
  </w:num>
  <w:num w:numId="4">
    <w:abstractNumId w:val="0"/>
  </w:num>
  <w:num w:numId="5">
    <w:abstractNumId w:val="1"/>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90"/>
    <w:link w:val="682"/>
    <w:qFormat/>
    <w:pPr>
      <w:jc w:val="both"/>
      <w:widowControl w:val="off"/>
    </w:pPr>
    <w:rPr>
      <w:sz w:val="21"/>
      <w:szCs w:val="24"/>
      <w:lang w:val="en-US" w:eastAsia="zh-CN" w:bidi="ar-SA"/>
    </w:rPr>
  </w:style>
  <w:style w:type="paragraph" w:styleId="683">
    <w:name w:val="标题 1"/>
    <w:basedOn w:val="682"/>
    <w:next w:val="682"/>
    <w:link w:val="682"/>
    <w:uiPriority w:val="9"/>
    <w:qFormat/>
    <w:pPr>
      <w:keepLines/>
      <w:keepNext/>
      <w:spacing w:before="340" w:after="330" w:line="578" w:lineRule="auto"/>
      <w:outlineLvl w:val="0"/>
    </w:pPr>
    <w:rPr>
      <w:b/>
      <w:bCs/>
      <w:sz w:val="44"/>
      <w:szCs w:val="44"/>
    </w:rPr>
  </w:style>
  <w:style w:type="paragraph" w:styleId="684">
    <w:name w:val="标题 2"/>
    <w:basedOn w:val="682"/>
    <w:next w:val="693"/>
    <w:link w:val="682"/>
    <w:uiPriority w:val="9"/>
    <w:qFormat/>
    <w:pPr>
      <w:keepLines/>
      <w:keepNext/>
      <w:spacing w:before="260" w:after="260" w:line="413" w:lineRule="auto"/>
      <w:outlineLvl w:val="1"/>
    </w:pPr>
    <w:rPr>
      <w:rFonts w:ascii="Arial" w:hAnsi="Arial" w:eastAsia="黑体"/>
      <w:b/>
      <w:sz w:val="32"/>
      <w:szCs w:val="20"/>
    </w:rPr>
  </w:style>
  <w:style w:type="paragraph" w:styleId="685">
    <w:name w:val="标题 3"/>
    <w:basedOn w:val="682"/>
    <w:next w:val="682"/>
    <w:link w:val="682"/>
    <w:uiPriority w:val="9"/>
    <w:qFormat/>
    <w:pPr>
      <w:keepLines/>
      <w:keepNext/>
      <w:spacing w:before="260" w:after="260" w:line="413" w:lineRule="auto"/>
      <w:outlineLvl w:val="2"/>
    </w:pPr>
    <w:rPr>
      <w:rFonts w:ascii="Arial" w:hAnsi="Arial"/>
      <w:b/>
      <w:sz w:val="32"/>
      <w:szCs w:val="20"/>
    </w:rPr>
  </w:style>
  <w:style w:type="paragraph" w:styleId="686">
    <w:name w:val="标题 4"/>
    <w:basedOn w:val="682"/>
    <w:next w:val="682"/>
    <w:link w:val="695"/>
    <w:uiPriority w:val="9"/>
    <w:qFormat/>
    <w:pPr>
      <w:keepLines/>
      <w:keepNext/>
      <w:spacing w:before="280" w:after="290" w:line="376" w:lineRule="auto"/>
      <w:outlineLvl w:val="3"/>
    </w:pPr>
    <w:rPr>
      <w:rFonts w:ascii="Cambria" w:hAnsi="Cambria"/>
      <w:b/>
      <w:bCs/>
      <w:sz w:val="28"/>
      <w:szCs w:val="28"/>
    </w:rPr>
  </w:style>
  <w:style w:type="paragraph" w:styleId="687">
    <w:name w:val="标题 5"/>
    <w:basedOn w:val="682"/>
    <w:next w:val="682"/>
    <w:link w:val="696"/>
    <w:uiPriority w:val="9"/>
    <w:qFormat/>
    <w:pPr>
      <w:keepLines/>
      <w:keepNext/>
      <w:spacing w:before="280" w:after="290" w:line="376" w:lineRule="auto"/>
      <w:outlineLvl w:val="4"/>
    </w:pPr>
    <w:rPr>
      <w:b/>
      <w:bCs/>
      <w:sz w:val="28"/>
      <w:szCs w:val="28"/>
    </w:rPr>
  </w:style>
  <w:style w:type="character" w:styleId="688">
    <w:name w:val="默认段落字体"/>
    <w:next w:val="688"/>
    <w:link w:val="682"/>
    <w:semiHidden/>
  </w:style>
  <w:style w:type="table" w:styleId="689">
    <w:name w:val="普通表格"/>
    <w:next w:val="689"/>
    <w:link w:val="68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90">
    <w:name w:val="正文首行缩进 21"/>
    <w:basedOn w:val="691"/>
    <w:next w:val="682"/>
    <w:link w:val="682"/>
    <w:qFormat/>
    <w:pPr>
      <w:ind w:firstLine="420"/>
      <w:spacing w:line="360" w:lineRule="auto"/>
    </w:pPr>
    <w:rPr>
      <w:rFonts w:ascii="宋体" w:hAnsi="宋体" w:eastAsia="宋体"/>
      <w:sz w:val="21"/>
      <w:szCs w:val="20"/>
    </w:rPr>
  </w:style>
  <w:style w:type="paragraph" w:styleId="691">
    <w:name w:val="正文文本缩进1"/>
    <w:basedOn w:val="682"/>
    <w:next w:val="692"/>
    <w:link w:val="682"/>
    <w:qFormat/>
    <w:pPr>
      <w:ind w:firstLine="645"/>
    </w:pPr>
    <w:rPr>
      <w:rFonts w:ascii="楷体_GB2312" w:eastAsia="楷体_GB2312"/>
      <w:sz w:val="32"/>
      <w:szCs w:val="32"/>
    </w:rPr>
  </w:style>
  <w:style w:type="paragraph" w:styleId="692">
    <w:name w:val="寄信人地址1"/>
    <w:basedOn w:val="682"/>
    <w:next w:val="692"/>
    <w:link w:val="682"/>
    <w:qFormat/>
    <w:rPr>
      <w:rFonts w:ascii="Arial" w:hAnsi="Arial"/>
    </w:rPr>
  </w:style>
  <w:style w:type="paragraph" w:styleId="693">
    <w:name w:val="正文缩进"/>
    <w:basedOn w:val="682"/>
    <w:next w:val="693"/>
    <w:link w:val="694"/>
    <w:pPr>
      <w:ind w:firstLine="420"/>
    </w:pPr>
    <w:rPr>
      <w:szCs w:val="20"/>
    </w:rPr>
  </w:style>
  <w:style w:type="character" w:styleId="694">
    <w:name w:val="正文缩进 Char"/>
    <w:next w:val="694"/>
    <w:link w:val="693"/>
    <w:rPr>
      <w:sz w:val="21"/>
    </w:rPr>
  </w:style>
  <w:style w:type="character" w:styleId="695">
    <w:name w:val="标题 4 Char"/>
    <w:next w:val="695"/>
    <w:link w:val="686"/>
    <w:uiPriority w:val="9"/>
    <w:rPr>
      <w:rFonts w:ascii="Cambria" w:hAnsi="Cambria"/>
      <w:b/>
      <w:bCs/>
      <w:sz w:val="28"/>
      <w:szCs w:val="28"/>
    </w:rPr>
  </w:style>
  <w:style w:type="character" w:styleId="696">
    <w:name w:val="标题 5 Char"/>
    <w:next w:val="696"/>
    <w:link w:val="687"/>
    <w:uiPriority w:val="9"/>
    <w:rPr>
      <w:b/>
      <w:bCs/>
      <w:sz w:val="28"/>
      <w:szCs w:val="28"/>
    </w:rPr>
  </w:style>
  <w:style w:type="paragraph" w:styleId="697">
    <w:name w:val="题注"/>
    <w:basedOn w:val="682"/>
    <w:next w:val="682"/>
    <w:link w:val="682"/>
    <w:uiPriority w:val="35"/>
    <w:qFormat/>
    <w:pPr>
      <w:jc w:val="center"/>
      <w:spacing w:before="156" w:after="156" w:line="360" w:lineRule="auto"/>
    </w:pPr>
    <w:rPr>
      <w:rFonts w:ascii="Arial" w:hAnsi="Arial" w:cs="Arial"/>
      <w:sz w:val="24"/>
      <w:szCs w:val="20"/>
    </w:rPr>
  </w:style>
  <w:style w:type="paragraph" w:styleId="698">
    <w:name w:val="文档结构图"/>
    <w:basedOn w:val="682"/>
    <w:next w:val="698"/>
    <w:link w:val="682"/>
    <w:semiHidden/>
    <w:pPr>
      <w:shd w:val="clear" w:color="auto" w:fill="000080"/>
    </w:pPr>
  </w:style>
  <w:style w:type="paragraph" w:styleId="699">
    <w:name w:val="批注文字"/>
    <w:basedOn w:val="682"/>
    <w:next w:val="699"/>
    <w:link w:val="700"/>
    <w:uiPriority w:val="99"/>
    <w:unhideWhenUsed/>
    <w:pPr>
      <w:jc w:val="left"/>
    </w:pPr>
  </w:style>
  <w:style w:type="character" w:styleId="700">
    <w:name w:val="批注文字 Char"/>
    <w:next w:val="700"/>
    <w:link w:val="699"/>
    <w:uiPriority w:val="99"/>
    <w:rPr>
      <w:sz w:val="21"/>
      <w:szCs w:val="24"/>
    </w:rPr>
  </w:style>
  <w:style w:type="paragraph" w:styleId="701">
    <w:name w:val="正文文本 3"/>
    <w:basedOn w:val="682"/>
    <w:next w:val="701"/>
    <w:link w:val="682"/>
    <w:rPr>
      <w:rFonts w:ascii="楷体_GB2312" w:hAnsi="Arial" w:eastAsia="楷体_GB2312" w:cs="Arial"/>
      <w:b/>
      <w:bCs/>
      <w:color w:val="000000"/>
      <w:sz w:val="24"/>
    </w:rPr>
  </w:style>
  <w:style w:type="paragraph" w:styleId="702">
    <w:name w:val="正文文本"/>
    <w:basedOn w:val="682"/>
    <w:next w:val="702"/>
    <w:link w:val="68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3">
    <w:name w:val="正文文本缩进"/>
    <w:basedOn w:val="682"/>
    <w:next w:val="703"/>
    <w:link w:val="682"/>
    <w:pPr>
      <w:ind w:firstLine="630"/>
    </w:pPr>
    <w:rPr>
      <w:rFonts w:ascii="楷体_GB2312" w:eastAsia="楷体_GB2312"/>
      <w:sz w:val="32"/>
      <w:szCs w:val="20"/>
    </w:rPr>
  </w:style>
  <w:style w:type="paragraph" w:styleId="704">
    <w:name w:val="文本块"/>
    <w:basedOn w:val="682"/>
    <w:next w:val="704"/>
    <w:link w:val="682"/>
    <w:pPr>
      <w:ind w:left="420" w:right="33"/>
      <w:jc w:val="left"/>
    </w:pPr>
    <w:rPr>
      <w:sz w:val="24"/>
      <w:szCs w:val="20"/>
    </w:rPr>
  </w:style>
  <w:style w:type="paragraph" w:styleId="705">
    <w:name w:val="目录 3"/>
    <w:basedOn w:val="682"/>
    <w:next w:val="682"/>
    <w:link w:val="682"/>
    <w:semiHidden/>
    <w:pPr>
      <w:ind w:left="840"/>
      <w:spacing w:line="300" w:lineRule="auto"/>
      <w:tabs>
        <w:tab w:val="right" w:pos="9344" w:leader="dot"/>
      </w:tabs>
    </w:pPr>
    <w:rPr>
      <w:rFonts w:ascii="Arial" w:hAnsi="Arial" w:cs="Arial"/>
      <w:szCs w:val="21"/>
    </w:rPr>
  </w:style>
  <w:style w:type="paragraph" w:styleId="706">
    <w:name w:val="纯文本"/>
    <w:basedOn w:val="682"/>
    <w:next w:val="706"/>
    <w:link w:val="707"/>
    <w:rPr>
      <w:rFonts w:ascii="宋体" w:hAnsi="Courier New"/>
      <w:szCs w:val="20"/>
    </w:rPr>
  </w:style>
  <w:style w:type="character" w:styleId="707">
    <w:name w:val="纯文本 Char"/>
    <w:next w:val="707"/>
    <w:link w:val="706"/>
    <w:rPr>
      <w:rFonts w:ascii="宋体" w:hAnsi="Courier New" w:eastAsia="宋体"/>
      <w:sz w:val="21"/>
      <w:lang w:val="en-US" w:eastAsia="zh-CN" w:bidi="ar-SA"/>
    </w:rPr>
  </w:style>
  <w:style w:type="paragraph" w:styleId="708">
    <w:name w:val="正文文本缩进 2"/>
    <w:basedOn w:val="682"/>
    <w:next w:val="708"/>
    <w:link w:val="682"/>
    <w:pPr>
      <w:ind w:left="420"/>
      <w:spacing w:after="120" w:line="480" w:lineRule="auto"/>
    </w:pPr>
  </w:style>
  <w:style w:type="paragraph" w:styleId="709">
    <w:name w:val="批注框文本"/>
    <w:basedOn w:val="682"/>
    <w:next w:val="709"/>
    <w:link w:val="710"/>
    <w:rPr>
      <w:sz w:val="18"/>
      <w:szCs w:val="18"/>
    </w:rPr>
  </w:style>
  <w:style w:type="character" w:styleId="710">
    <w:name w:val="批注框文本 Char"/>
    <w:next w:val="710"/>
    <w:link w:val="709"/>
    <w:rPr>
      <w:sz w:val="18"/>
      <w:szCs w:val="18"/>
    </w:rPr>
  </w:style>
  <w:style w:type="paragraph" w:styleId="711">
    <w:name w:val="页脚"/>
    <w:basedOn w:val="682"/>
    <w:next w:val="711"/>
    <w:link w:val="712"/>
    <w:pPr>
      <w:jc w:val="left"/>
      <w:tabs>
        <w:tab w:val="center" w:pos="4153" w:leader="none"/>
        <w:tab w:val="right" w:pos="8306" w:leader="none"/>
      </w:tabs>
    </w:pPr>
    <w:rPr>
      <w:sz w:val="18"/>
      <w:szCs w:val="18"/>
    </w:rPr>
  </w:style>
  <w:style w:type="character" w:styleId="712">
    <w:name w:val="页脚 Char"/>
    <w:next w:val="712"/>
    <w:link w:val="711"/>
    <w:rPr>
      <w:sz w:val="18"/>
      <w:szCs w:val="18"/>
    </w:rPr>
  </w:style>
  <w:style w:type="paragraph" w:styleId="713">
    <w:name w:val="页眉"/>
    <w:basedOn w:val="682"/>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sz w:val="18"/>
      <w:szCs w:val="18"/>
    </w:rPr>
  </w:style>
  <w:style w:type="paragraph" w:styleId="715">
    <w:name w:val="目录 1"/>
    <w:basedOn w:val="682"/>
    <w:next w:val="682"/>
    <w:link w:val="682"/>
    <w:semiHidden/>
  </w:style>
  <w:style w:type="paragraph" w:styleId="716">
    <w:name w:val="正文文本缩进 3"/>
    <w:basedOn w:val="682"/>
    <w:next w:val="716"/>
    <w:link w:val="682"/>
    <w:uiPriority w:val="99"/>
    <w:pPr>
      <w:ind w:firstLine="420"/>
    </w:pPr>
    <w:rPr>
      <w:rFonts w:eastAsia="楷体_GB2312"/>
    </w:rPr>
  </w:style>
  <w:style w:type="paragraph" w:styleId="717">
    <w:name w:val="目录 2"/>
    <w:basedOn w:val="682"/>
    <w:next w:val="682"/>
    <w:link w:val="682"/>
    <w:semiHidden/>
    <w:pPr>
      <w:ind w:left="420"/>
    </w:pPr>
    <w:rPr>
      <w:szCs w:val="20"/>
    </w:rPr>
  </w:style>
  <w:style w:type="paragraph" w:styleId="718">
    <w:name w:val="正文文本 2"/>
    <w:basedOn w:val="682"/>
    <w:next w:val="718"/>
    <w:link w:val="719"/>
    <w:pPr>
      <w:spacing w:line="440" w:lineRule="exact"/>
    </w:pPr>
    <w:rPr>
      <w:rFonts w:ascii="楷体_GB2312" w:eastAsia="楷体_GB2312"/>
      <w:sz w:val="28"/>
    </w:rPr>
  </w:style>
  <w:style w:type="character" w:styleId="719">
    <w:name w:val="正文文本 2 Char"/>
    <w:next w:val="719"/>
    <w:link w:val="718"/>
    <w:rPr>
      <w:rFonts w:ascii="楷体_GB2312" w:eastAsia="楷体_GB2312"/>
      <w:sz w:val="28"/>
      <w:szCs w:val="24"/>
    </w:rPr>
  </w:style>
  <w:style w:type="paragraph" w:styleId="720">
    <w:name w:val="批注主题"/>
    <w:basedOn w:val="699"/>
    <w:next w:val="699"/>
    <w:link w:val="721"/>
    <w:rPr>
      <w:b/>
      <w:bCs/>
    </w:rPr>
  </w:style>
  <w:style w:type="character" w:styleId="721">
    <w:name w:val="批注主题 Char"/>
    <w:next w:val="721"/>
    <w:link w:val="720"/>
    <w:rPr>
      <w:b/>
      <w:bCs/>
      <w:sz w:val="21"/>
      <w:szCs w:val="24"/>
    </w:rPr>
  </w:style>
  <w:style w:type="paragraph" w:styleId="722">
    <w:name w:val="正文首行缩进 2"/>
    <w:basedOn w:val="703"/>
    <w:next w:val="722"/>
    <w:link w:val="682"/>
    <w:pPr>
      <w:ind w:left="420" w:firstLine="420"/>
      <w:spacing w:after="120"/>
      <w:widowControl/>
    </w:pPr>
    <w:rPr>
      <w:rFonts w:ascii="仿宋_GB2312" w:eastAsia="仿宋_GB2312"/>
      <w:color w:val="ff6600"/>
      <w:sz w:val="21"/>
    </w:rPr>
  </w:style>
  <w:style w:type="table" w:styleId="723">
    <w:name w:val="网格型"/>
    <w:basedOn w:val="689"/>
    <w:next w:val="723"/>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24">
    <w:name w:val="要点"/>
    <w:next w:val="724"/>
    <w:link w:val="682"/>
    <w:qFormat/>
    <w:rPr>
      <w:b w:val="0"/>
      <w:i w:val="0"/>
    </w:rPr>
  </w:style>
  <w:style w:type="character" w:styleId="725">
    <w:name w:val="页码"/>
    <w:next w:val="725"/>
    <w:link w:val="682"/>
  </w:style>
  <w:style w:type="character" w:styleId="726">
    <w:name w:val="已访问的超链接"/>
    <w:next w:val="726"/>
    <w:link w:val="682"/>
    <w:rPr>
      <w:color w:val="800080"/>
      <w:u w:val="none"/>
    </w:rPr>
  </w:style>
  <w:style w:type="character" w:styleId="727">
    <w:name w:val="强调"/>
    <w:next w:val="727"/>
    <w:link w:val="682"/>
    <w:qFormat/>
    <w:rPr>
      <w:b w:val="0"/>
      <w:i w:val="0"/>
    </w:rPr>
  </w:style>
  <w:style w:type="character" w:styleId="728">
    <w:name w:val="HTML 定义"/>
    <w:next w:val="728"/>
    <w:link w:val="682"/>
    <w:rPr>
      <w:b w:val="0"/>
      <w:i w:val="0"/>
    </w:rPr>
  </w:style>
  <w:style w:type="character" w:styleId="729">
    <w:name w:val="HTML 打字机"/>
    <w:next w:val="729"/>
    <w:link w:val="682"/>
    <w:rPr>
      <w:rFonts w:ascii="monospace" w:hAnsi="monospace" w:eastAsia="monospace" w:cs="monospace"/>
      <w:sz w:val="20"/>
    </w:rPr>
  </w:style>
  <w:style w:type="character" w:styleId="730">
    <w:name w:val="HTML 缩写"/>
    <w:next w:val="730"/>
    <w:link w:val="682"/>
  </w:style>
  <w:style w:type="character" w:styleId="731">
    <w:name w:val="HTML 变量"/>
    <w:next w:val="731"/>
    <w:link w:val="682"/>
    <w:rPr>
      <w:b w:val="0"/>
      <w:i w:val="0"/>
    </w:rPr>
  </w:style>
  <w:style w:type="character" w:styleId="732">
    <w:name w:val="超链接"/>
    <w:next w:val="732"/>
    <w:link w:val="682"/>
    <w:rPr>
      <w:color w:val="0000ff"/>
      <w:u w:val="none"/>
    </w:rPr>
  </w:style>
  <w:style w:type="character" w:styleId="733">
    <w:name w:val="HTML 代码"/>
    <w:next w:val="733"/>
    <w:link w:val="682"/>
    <w:rPr>
      <w:rFonts w:ascii="monospace" w:hAnsi="monospace" w:eastAsia="monospace" w:cs="monospace"/>
      <w:b w:val="0"/>
      <w:i w:val="0"/>
      <w:sz w:val="20"/>
    </w:rPr>
  </w:style>
  <w:style w:type="character" w:styleId="734">
    <w:name w:val="批注引用"/>
    <w:next w:val="734"/>
    <w:link w:val="682"/>
    <w:rPr>
      <w:sz w:val="21"/>
      <w:szCs w:val="21"/>
    </w:rPr>
  </w:style>
  <w:style w:type="character" w:styleId="735">
    <w:name w:val="HTML 引文"/>
    <w:next w:val="735"/>
    <w:link w:val="682"/>
    <w:rPr>
      <w:b w:val="0"/>
      <w:i w:val="0"/>
    </w:rPr>
  </w:style>
  <w:style w:type="character" w:styleId="736">
    <w:name w:val="HTML 键盘"/>
    <w:next w:val="736"/>
    <w:link w:val="682"/>
    <w:rPr>
      <w:rFonts w:ascii="monospace" w:hAnsi="monospace" w:eastAsia="monospace" w:cs="monospace"/>
      <w:sz w:val="20"/>
    </w:rPr>
  </w:style>
  <w:style w:type="character" w:styleId="737">
    <w:name w:val="HTML 样本"/>
    <w:next w:val="737"/>
    <w:link w:val="682"/>
    <w:rPr>
      <w:rFonts w:ascii="monospace" w:hAnsi="monospace" w:eastAsia="monospace" w:cs="monospace"/>
    </w:rPr>
  </w:style>
  <w:style w:type="character" w:styleId="738">
    <w:name w:val="Font Style30"/>
    <w:next w:val="738"/>
    <w:link w:val="682"/>
    <w:rPr>
      <w:rFonts w:ascii="宋体" w:eastAsia="宋体" w:cs="宋体"/>
      <w:sz w:val="14"/>
      <w:szCs w:val="14"/>
    </w:rPr>
  </w:style>
  <w:style w:type="character" w:styleId="739">
    <w:name w:val="glyphicon"/>
    <w:next w:val="739"/>
    <w:link w:val="682"/>
  </w:style>
  <w:style w:type="character" w:styleId="740">
    <w:name w:val="Font Style36"/>
    <w:next w:val="740"/>
    <w:link w:val="682"/>
    <w:rPr>
      <w:rFonts w:ascii="宋体" w:eastAsia="宋体" w:cs="宋体"/>
      <w:sz w:val="16"/>
      <w:szCs w:val="16"/>
    </w:rPr>
  </w:style>
  <w:style w:type="character" w:styleId="741">
    <w:name w:val="hour_am"/>
    <w:next w:val="741"/>
    <w:link w:val="682"/>
  </w:style>
  <w:style w:type="character" w:styleId="742">
    <w:name w:val="old"/>
    <w:next w:val="742"/>
    <w:link w:val="682"/>
    <w:rPr>
      <w:color w:val="999999"/>
    </w:rPr>
  </w:style>
  <w:style w:type="character" w:styleId="743">
    <w:name w:val="标题 2 Char,节 Char,Heading 2 Hidden Char,Heading 2 CCBS Char,H2 Char,sect 1.2 Char,H21 Char,sect 1.21 Char,H22 Char,sect 1.22 Char,H211 Char,sect 1.211 Char,H23 Char,sect 1.23 Char,H212 Char,sect 1.212 Char,2nd level Char,h2 Char,2 Char,Header 2 Char"/>
    <w:next w:val="743"/>
    <w:link w:val="682"/>
    <w:rPr>
      <w:rFonts w:ascii="Arial" w:hAnsi="Arial" w:eastAsia="黑体"/>
      <w:b/>
      <w:sz w:val="32"/>
      <w:lang w:val="en-US" w:eastAsia="zh-CN"/>
    </w:rPr>
  </w:style>
  <w:style w:type="character" w:styleId="744">
    <w:name w:val="hover"/>
    <w:next w:val="744"/>
    <w:link w:val="682"/>
    <w:rPr>
      <w:shd w:val="clear" w:color="auto" w:fill="eeeeee"/>
    </w:rPr>
  </w:style>
  <w:style w:type="character" w:styleId="745">
    <w:name w:val="hour_pm"/>
    <w:next w:val="745"/>
    <w:link w:val="682"/>
  </w:style>
  <w:style w:type="character" w:styleId="746">
    <w:name w:val="Font Style28"/>
    <w:next w:val="746"/>
    <w:link w:val="682"/>
    <w:rPr>
      <w:rFonts w:ascii="Constantia" w:hAnsi="Constantia" w:cs="Constantia"/>
      <w:sz w:val="28"/>
      <w:szCs w:val="28"/>
    </w:rPr>
  </w:style>
  <w:style w:type="character" w:styleId="747">
    <w:name w:val="Font Style29"/>
    <w:next w:val="747"/>
    <w:link w:val="682"/>
    <w:rPr>
      <w:rFonts w:ascii="Arial" w:hAnsi="Arial" w:cs="Arial"/>
      <w:sz w:val="14"/>
      <w:szCs w:val="14"/>
    </w:rPr>
  </w:style>
  <w:style w:type="character" w:styleId="748">
    <w:name w:val="Font Style37"/>
    <w:next w:val="748"/>
    <w:link w:val="682"/>
    <w:rPr>
      <w:rFonts w:ascii="Arial" w:hAnsi="Arial" w:cs="Arial"/>
      <w:sz w:val="16"/>
      <w:szCs w:val="16"/>
    </w:rPr>
  </w:style>
  <w:style w:type="character" w:styleId="749">
    <w:name w:val="Plain Text Char"/>
    <w:next w:val="749"/>
    <w:link w:val="682"/>
    <w:rPr>
      <w:rFonts w:ascii="宋体" w:hAnsi="Courier New" w:eastAsia="宋体"/>
      <w:sz w:val="21"/>
      <w:lang w:val="en-US" w:eastAsia="zh-CN" w:bidi="ar-SA"/>
    </w:rPr>
  </w:style>
  <w:style w:type="paragraph" w:styleId="750">
    <w:name w:val="Default"/>
    <w:next w:val="750"/>
    <w:link w:val="682"/>
    <w:pPr>
      <w:widowControl w:val="off"/>
    </w:pPr>
    <w:rPr>
      <w:rFonts w:ascii="仿宋" w:eastAsia="仿宋" w:cs="仿宋"/>
      <w:color w:val="000000"/>
      <w:sz w:val="24"/>
      <w:szCs w:val="24"/>
      <w:lang w:val="en-US" w:eastAsia="zh-CN" w:bidi="ar-SA"/>
    </w:rPr>
  </w:style>
  <w:style w:type="paragraph" w:styleId="751">
    <w:name w:val="默认段落字体 Para Char Char Char Char Char Char Char Char Char1 Char Char Char Char Char Char Char"/>
    <w:basedOn w:val="698"/>
    <w:next w:val="751"/>
    <w:link w:val="682"/>
    <w:rPr>
      <w:rFonts w:ascii="Tahoma" w:hAnsi="Tahoma"/>
      <w:sz w:val="24"/>
    </w:rPr>
  </w:style>
  <w:style w:type="paragraph" w:styleId="752">
    <w:name w:val="Style9"/>
    <w:basedOn w:val="682"/>
    <w:next w:val="752"/>
    <w:link w:val="682"/>
    <w:pPr>
      <w:jc w:val="left"/>
    </w:pPr>
    <w:rPr>
      <w:rFonts w:ascii="宋体"/>
      <w:sz w:val="24"/>
    </w:rPr>
  </w:style>
  <w:style w:type="paragraph" w:styleId="753">
    <w:name w:val="Char"/>
    <w:basedOn w:val="682"/>
    <w:next w:val="753"/>
    <w:link w:val="682"/>
    <w:pPr>
      <w:tabs>
        <w:tab w:val="left" w:pos="360" w:leader="none"/>
      </w:tabs>
    </w:pPr>
    <w:rPr>
      <w:sz w:val="24"/>
    </w:rPr>
  </w:style>
  <w:style w:type="paragraph" w:styleId="754">
    <w:name w:val=" Char Char Char1 Char Char Char Char"/>
    <w:basedOn w:val="682"/>
    <w:next w:val="754"/>
    <w:link w:val="682"/>
    <w:pPr>
      <w:jc w:val="left"/>
      <w:spacing w:after="160" w:line="240" w:lineRule="exact"/>
      <w:widowControl/>
    </w:pPr>
    <w:rPr>
      <w:rFonts w:ascii="宋体" w:hAnsi="宋体"/>
      <w:b/>
      <w:sz w:val="28"/>
      <w:szCs w:val="28"/>
    </w:rPr>
  </w:style>
  <w:style w:type="paragraph" w:styleId="755">
    <w:name w:val="Style10"/>
    <w:basedOn w:val="682"/>
    <w:next w:val="755"/>
    <w:link w:val="682"/>
    <w:pPr>
      <w:jc w:val="left"/>
    </w:pPr>
    <w:rPr>
      <w:rFonts w:ascii="宋体"/>
      <w:sz w:val="24"/>
    </w:rPr>
  </w:style>
  <w:style w:type="paragraph" w:styleId="756">
    <w:name w:val="首行缩进"/>
    <w:basedOn w:val="682"/>
    <w:next w:val="756"/>
    <w:link w:val="682"/>
    <w:qFormat/>
    <w:pPr>
      <w:ind w:firstLine="420"/>
      <w:spacing w:line="360" w:lineRule="auto"/>
    </w:pPr>
    <w:rPr>
      <w:sz w:val="20"/>
    </w:rPr>
  </w:style>
  <w:style w:type="paragraph" w:styleId="757">
    <w:name w:val="普通正文"/>
    <w:basedOn w:val="682"/>
    <w:next w:val="757"/>
    <w:link w:val="682"/>
    <w:pPr>
      <w:ind w:firstLine="480"/>
      <w:jc w:val="left"/>
      <w:spacing w:before="120" w:after="120" w:line="360" w:lineRule="auto"/>
    </w:pPr>
    <w:rPr>
      <w:rFonts w:ascii="Arial" w:hAnsi="Arial"/>
      <w:sz w:val="24"/>
    </w:rPr>
  </w:style>
  <w:style w:type="paragraph" w:styleId="758">
    <w:name w:val="要点标题"/>
    <w:basedOn w:val="682"/>
    <w:next w:val="758"/>
    <w:link w:val="682"/>
    <w:pPr>
      <w:numPr>
        <w:ilvl w:val="0"/>
        <w:numId w:val="1"/>
      </w:numPr>
      <w:jc w:val="left"/>
      <w:tabs>
        <w:tab w:val="left" w:pos="420" w:leader="none"/>
      </w:tabs>
    </w:pPr>
    <w:rPr>
      <w:rFonts w:ascii="宋体" w:hAnsi="宋体"/>
      <w:b/>
      <w:sz w:val="24"/>
    </w:rPr>
  </w:style>
  <w:style w:type="paragraph" w:styleId="759">
    <w:name w:val="文档正文"/>
    <w:basedOn w:val="682"/>
    <w:next w:val="759"/>
    <w:link w:val="682"/>
    <w:pPr>
      <w:ind w:firstLine="567"/>
      <w:spacing w:line="480" w:lineRule="atLeast"/>
    </w:pPr>
    <w:rPr>
      <w:rFonts w:ascii="仿宋_GB2312"/>
      <w:szCs w:val="20"/>
    </w:rPr>
  </w:style>
  <w:style w:type="paragraph" w:styleId="760">
    <w:name w:val="Char Char Char Char"/>
    <w:basedOn w:val="698"/>
    <w:next w:val="760"/>
    <w:link w:val="682"/>
    <w:pPr>
      <w:spacing w:line="360" w:lineRule="auto"/>
    </w:pPr>
    <w:rPr>
      <w:rFonts w:ascii="Tahoma" w:hAnsi="Tahoma"/>
      <w:sz w:val="24"/>
    </w:rPr>
  </w:style>
  <w:style w:type="paragraph" w:styleId="761">
    <w:name w:val=" Char"/>
    <w:basedOn w:val="682"/>
    <w:next w:val="761"/>
    <w:link w:val="682"/>
    <w:pPr>
      <w:ind w:left="420" w:hanging="420"/>
      <w:jc w:val="left"/>
      <w:tabs>
        <w:tab w:val="left" w:pos="420" w:leader="none"/>
      </w:tabs>
    </w:pPr>
    <w:rPr>
      <w:szCs w:val="20"/>
    </w:rPr>
  </w:style>
  <w:style w:type="paragraph" w:styleId="762">
    <w:name w:val="正文（无缩进）"/>
    <w:basedOn w:val="682"/>
    <w:next w:val="762"/>
    <w:link w:val="682"/>
    <w:qFormat/>
    <w:pPr>
      <w:spacing w:line="360" w:lineRule="auto"/>
    </w:pPr>
    <w:rPr>
      <w:rFonts w:ascii="Calibri" w:hAnsi="Calibri"/>
      <w:sz w:val="24"/>
      <w:szCs w:val="21"/>
    </w:rPr>
  </w:style>
  <w:style w:type="paragraph" w:styleId="763">
    <w:name w:val="Style11"/>
    <w:basedOn w:val="682"/>
    <w:next w:val="763"/>
    <w:link w:val="682"/>
    <w:pPr>
      <w:jc w:val="left"/>
      <w:spacing w:line="446" w:lineRule="exact"/>
    </w:pPr>
    <w:rPr>
      <w:rFonts w:ascii="宋体"/>
      <w:sz w:val="24"/>
    </w:rPr>
  </w:style>
  <w:style w:type="paragraph" w:styleId="764">
    <w:name w:val="样式1"/>
    <w:basedOn w:val="682"/>
    <w:next w:val="764"/>
    <w:link w:val="682"/>
    <w:pPr>
      <w:numPr>
        <w:ilvl w:val="0"/>
        <w:numId w:val="2"/>
      </w:numPr>
      <w:tabs>
        <w:tab w:val="left" w:pos="1110" w:leader="none"/>
      </w:tabs>
    </w:pPr>
    <w:rPr>
      <w:rFonts w:ascii="宋体" w:hAnsi="宋体"/>
      <w:szCs w:val="21"/>
    </w:rPr>
  </w:style>
  <w:style w:type="paragraph" w:styleId="765">
    <w:name w:val="_Style 56"/>
    <w:basedOn w:val="698"/>
    <w:next w:val="765"/>
    <w:link w:val="682"/>
    <w:pPr>
      <w:spacing w:line="436" w:lineRule="exact"/>
    </w:pPr>
    <w:rPr>
      <w:szCs w:val="20"/>
    </w:rPr>
  </w:style>
  <w:style w:type="paragraph" w:styleId="766">
    <w:name w:val="Char Char1 Char Char Char Char Char Char"/>
    <w:basedOn w:val="682"/>
    <w:next w:val="766"/>
    <w:link w:val="682"/>
    <w:pPr>
      <w:jc w:val="center"/>
      <w:widowControl/>
    </w:pPr>
    <w:rPr>
      <w:rFonts w:ascii="宋体" w:hAnsi="宋体"/>
      <w:b/>
      <w:sz w:val="24"/>
      <w:lang w:eastAsia="en-US"/>
    </w:rPr>
  </w:style>
  <w:style w:type="paragraph" w:styleId="767">
    <w:name w:val="Char1"/>
    <w:basedOn w:val="682"/>
    <w:next w:val="767"/>
    <w:link w:val="682"/>
    <w:pPr>
      <w:ind w:left="840" w:hanging="420"/>
      <w:tabs>
        <w:tab w:val="left" w:pos="840" w:leader="none"/>
      </w:tabs>
    </w:pPr>
    <w:rPr>
      <w:sz w:val="24"/>
    </w:rPr>
  </w:style>
  <w:style w:type="paragraph" w:styleId="768">
    <w:name w:val="我的样式"/>
    <w:basedOn w:val="683"/>
    <w:next w:val="682"/>
    <w:link w:val="682"/>
    <w:pPr>
      <w:numPr>
        <w:ilvl w:val="0"/>
        <w:numId w:val="3"/>
      </w:numPr>
      <w:spacing w:line="360" w:lineRule="auto"/>
    </w:pPr>
    <w:rPr>
      <w:rFonts w:ascii="仿宋_GB2312" w:eastAsia="仿宋_GB2312"/>
      <w:sz w:val="32"/>
      <w:szCs w:val="30"/>
    </w:rPr>
  </w:style>
  <w:style w:type="paragraph" w:styleId="769">
    <w:name w:val="表格正文"/>
    <w:next w:val="769"/>
    <w:link w:val="682"/>
    <w:pPr>
      <w:spacing w:line="0" w:lineRule="atLeast"/>
    </w:pPr>
    <w:rPr>
      <w:sz w:val="24"/>
      <w:szCs w:val="24"/>
      <w:lang w:val="en-US" w:eastAsia="zh-CN" w:bidi="he-IL"/>
    </w:rPr>
  </w:style>
  <w:style w:type="paragraph" w:styleId="770">
    <w:name w:val=" Char Char Char Char Char Char Char Char Char Char Char Char Char"/>
    <w:basedOn w:val="682"/>
    <w:next w:val="770"/>
    <w:link w:val="682"/>
    <w:pPr>
      <w:jc w:val="left"/>
      <w:spacing w:after="160" w:line="240" w:lineRule="exact"/>
      <w:widowControl/>
    </w:pPr>
    <w:rPr>
      <w:rFonts w:ascii="Verdana" w:hAnsi="Verdana"/>
      <w:sz w:val="20"/>
      <w:szCs w:val="20"/>
      <w:lang w:eastAsia="en-US"/>
    </w:rPr>
  </w:style>
  <w:style w:type="paragraph" w:styleId="771">
    <w:name w:val="标题1"/>
    <w:basedOn w:val="683"/>
    <w:next w:val="682"/>
    <w:link w:val="682"/>
    <w:pPr>
      <w:numPr>
        <w:ilvl w:val="0"/>
        <w:numId w:val="2"/>
      </w:numPr>
      <w:jc w:val="left"/>
      <w:spacing w:line="578" w:lineRule="atLeast"/>
    </w:pPr>
  </w:style>
  <w:style w:type="paragraph" w:styleId="772">
    <w:name w:val="正文（缩进） Char1"/>
    <w:basedOn w:val="682"/>
    <w:next w:val="772"/>
    <w:link w:val="682"/>
    <w:pPr>
      <w:ind w:firstLine="480"/>
      <w:spacing w:before="156" w:after="156" w:line="360" w:lineRule="auto"/>
    </w:pPr>
    <w:rPr>
      <w:sz w:val="24"/>
    </w:rPr>
  </w:style>
  <w:style w:type="paragraph" w:styleId="773">
    <w:name w:val="修订"/>
    <w:next w:val="773"/>
    <w:link w:val="682"/>
    <w:uiPriority w:val="99"/>
    <w:semiHidden/>
    <w:rPr>
      <w:sz w:val="21"/>
      <w:szCs w:val="24"/>
      <w:lang w:val="en-US" w:eastAsia="zh-CN" w:bidi="ar-SA"/>
    </w:rPr>
  </w:style>
  <w:style w:type="paragraph" w:styleId="774">
    <w:name w:val="Style12"/>
    <w:basedOn w:val="682"/>
    <w:next w:val="774"/>
    <w:link w:val="682"/>
    <w:pPr>
      <w:jc w:val="left"/>
    </w:pPr>
    <w:rPr>
      <w:rFonts w:ascii="宋体"/>
      <w:sz w:val="24"/>
    </w:rPr>
  </w:style>
  <w:style w:type="table" w:styleId="775">
    <w:name w:val="网格型1"/>
    <w:basedOn w:val="776"/>
    <w:next w:val="775"/>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776">
    <w:name w:val="普通表格1"/>
    <w:next w:val="776"/>
    <w:link w:val="682"/>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77">
    <w:name w:val="纯文本1"/>
    <w:basedOn w:val="682"/>
    <w:next w:val="777"/>
    <w:link w:val="682"/>
    <w:qFormat/>
    <w:rPr>
      <w:rFonts w:ascii="宋体" w:hAnsi="Courier New"/>
      <w:szCs w:val="20"/>
    </w:rPr>
  </w:style>
  <w:style w:type="paragraph" w:styleId="778">
    <w:name w:val="文本块1"/>
    <w:basedOn w:val="682"/>
    <w:next w:val="778"/>
    <w:link w:val="682"/>
    <w:qFormat/>
    <w:pPr>
      <w:ind w:left="420" w:right="33"/>
      <w:jc w:val="left"/>
    </w:pPr>
    <w:rPr>
      <w:sz w:val="24"/>
      <w:szCs w:val="20"/>
    </w:rPr>
  </w:style>
  <w:style w:type="character" w:styleId="8654" w:default="1">
    <w:name w:val="Default Paragraph Font"/>
    <w:uiPriority w:val="1"/>
    <w:semiHidden/>
    <w:unhideWhenUsed/>
  </w:style>
  <w:style w:type="numbering" w:styleId="8655" w:default="1">
    <w:name w:val="No List"/>
    <w:uiPriority w:val="99"/>
    <w:semiHidden/>
    <w:unhideWhenUsed/>
  </w:style>
  <w:style w:type="table" w:styleId="86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3</cp:revision>
  <dcterms:created xsi:type="dcterms:W3CDTF">2024-01-08T08:47:00Z</dcterms:created>
  <dcterms:modified xsi:type="dcterms:W3CDTF">2026-02-28T08:44:55Z</dcterms:modified>
</cp:coreProperties>
</file>